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42AAA" w14:textId="77777777" w:rsidR="00715679" w:rsidRPr="00047367" w:rsidRDefault="00715679" w:rsidP="00525D17">
      <w:pPr>
        <w:jc w:val="both"/>
        <w:rPr>
          <w:rFonts w:asciiTheme="majorHAnsi" w:hAnsiTheme="majorHAnsi"/>
          <w:sz w:val="24"/>
          <w:szCs w:val="24"/>
        </w:rPr>
      </w:pPr>
    </w:p>
    <w:p w14:paraId="52D57FB8" w14:textId="77777777" w:rsidR="00715679" w:rsidRPr="00047367" w:rsidRDefault="00715679" w:rsidP="00525D17">
      <w:pPr>
        <w:jc w:val="both"/>
        <w:rPr>
          <w:rFonts w:asciiTheme="majorHAnsi" w:hAnsiTheme="majorHAnsi"/>
          <w:sz w:val="24"/>
          <w:szCs w:val="24"/>
        </w:rPr>
      </w:pPr>
      <w:r w:rsidRPr="00047367">
        <w:rPr>
          <w:rFonts w:asciiTheme="majorHAnsi" w:hAnsiTheme="majorHAnsi"/>
          <w:sz w:val="24"/>
          <w:szCs w:val="24"/>
        </w:rPr>
        <w:t>Republic of Rwanda</w:t>
      </w:r>
    </w:p>
    <w:p w14:paraId="63919184" w14:textId="77777777" w:rsidR="00715679" w:rsidRPr="00047367" w:rsidRDefault="00715679" w:rsidP="00525D17">
      <w:pPr>
        <w:jc w:val="both"/>
        <w:rPr>
          <w:rFonts w:asciiTheme="majorHAnsi" w:hAnsiTheme="majorHAnsi"/>
          <w:sz w:val="24"/>
          <w:szCs w:val="24"/>
        </w:rPr>
      </w:pPr>
      <w:r w:rsidRPr="00047367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6E4E7335" wp14:editId="52A69936">
            <wp:extent cx="1689197" cy="1828800"/>
            <wp:effectExtent l="0" t="0" r="6350" b="0"/>
            <wp:docPr id="1" name="Picture 1" descr="C:\Users\user\Desktop\coat of arms - b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oat of arms - bt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97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86B0A" w14:textId="77777777" w:rsidR="00715679" w:rsidRPr="00047367" w:rsidRDefault="00715679" w:rsidP="00525D17">
      <w:pPr>
        <w:jc w:val="both"/>
        <w:rPr>
          <w:rFonts w:asciiTheme="majorHAnsi" w:hAnsiTheme="majorHAnsi"/>
          <w:sz w:val="24"/>
          <w:szCs w:val="24"/>
        </w:rPr>
      </w:pPr>
      <w:r w:rsidRPr="00047367">
        <w:rPr>
          <w:rFonts w:asciiTheme="majorHAnsi" w:hAnsiTheme="majorHAnsi"/>
          <w:sz w:val="24"/>
          <w:szCs w:val="24"/>
        </w:rPr>
        <w:t>Ministry of Infrastructure</w:t>
      </w:r>
    </w:p>
    <w:p w14:paraId="7B2D3A0A" w14:textId="77777777" w:rsidR="00715679" w:rsidRPr="00047367" w:rsidRDefault="00715679" w:rsidP="00525D17">
      <w:pPr>
        <w:jc w:val="both"/>
        <w:rPr>
          <w:rFonts w:asciiTheme="majorHAnsi" w:hAnsiTheme="majorHAnsi"/>
          <w:sz w:val="24"/>
          <w:szCs w:val="24"/>
        </w:rPr>
      </w:pPr>
    </w:p>
    <w:p w14:paraId="11187A03" w14:textId="77777777" w:rsidR="00715679" w:rsidRPr="00047367" w:rsidRDefault="00715679" w:rsidP="00525D17">
      <w:pPr>
        <w:jc w:val="both"/>
        <w:rPr>
          <w:rFonts w:asciiTheme="majorHAnsi" w:eastAsia="Calibri" w:hAnsiTheme="majorHAnsi" w:cs="Times New Roman"/>
          <w:b/>
          <w:color w:val="0070C0"/>
          <w:sz w:val="24"/>
          <w:szCs w:val="24"/>
        </w:rPr>
      </w:pPr>
      <w:r w:rsidRPr="00047367">
        <w:rPr>
          <w:rFonts w:asciiTheme="majorHAnsi" w:eastAsia="Calibri" w:hAnsiTheme="majorHAnsi" w:cs="Times New Roman"/>
          <w:b/>
          <w:color w:val="0070C0"/>
          <w:sz w:val="24"/>
          <w:szCs w:val="24"/>
        </w:rPr>
        <w:t>WATSAN SECTOR</w:t>
      </w:r>
    </w:p>
    <w:p w14:paraId="730D799D" w14:textId="77777777" w:rsidR="00715679" w:rsidRPr="00F320F4" w:rsidRDefault="003302B3" w:rsidP="00525D17">
      <w:pPr>
        <w:jc w:val="both"/>
        <w:rPr>
          <w:rFonts w:asciiTheme="majorHAnsi" w:eastAsia="Calibri" w:hAnsiTheme="majorHAnsi" w:cs="Times New Roman"/>
          <w:b/>
          <w:color w:val="0070C0"/>
          <w:sz w:val="24"/>
          <w:szCs w:val="24"/>
        </w:rPr>
      </w:pPr>
      <w:r w:rsidRPr="00047367">
        <w:rPr>
          <w:rFonts w:asciiTheme="majorHAnsi" w:eastAsia="Calibri" w:hAnsiTheme="majorHAnsi" w:cs="Times New Roman"/>
          <w:b/>
          <w:color w:val="0070C0"/>
          <w:sz w:val="24"/>
          <w:szCs w:val="24"/>
        </w:rPr>
        <w:t>BACKWARD</w:t>
      </w:r>
      <w:r w:rsidR="00715679" w:rsidRPr="00047367">
        <w:rPr>
          <w:rFonts w:asciiTheme="majorHAnsi" w:eastAsia="Calibri" w:hAnsiTheme="majorHAnsi" w:cs="Times New Roman"/>
          <w:b/>
          <w:color w:val="0070C0"/>
          <w:sz w:val="24"/>
          <w:szCs w:val="24"/>
        </w:rPr>
        <w:t>-LOOKING JOINT SECTOR REVIEW REPORT</w:t>
      </w:r>
      <w:r w:rsidRPr="00047367">
        <w:rPr>
          <w:rFonts w:asciiTheme="majorHAnsi" w:eastAsia="Calibri" w:hAnsiTheme="majorHAnsi" w:cs="Times New Roman"/>
          <w:b/>
          <w:color w:val="0070C0"/>
          <w:sz w:val="24"/>
          <w:szCs w:val="24"/>
        </w:rPr>
        <w:t xml:space="preserve"> 2013/2014</w:t>
      </w:r>
    </w:p>
    <w:p w14:paraId="3DF60926" w14:textId="435B4DED" w:rsidR="00F42229" w:rsidRPr="00047367" w:rsidRDefault="003302B3" w:rsidP="00525D17">
      <w:pPr>
        <w:jc w:val="both"/>
        <w:rPr>
          <w:rFonts w:asciiTheme="majorHAnsi" w:hAnsiTheme="majorHAnsi"/>
          <w:b/>
          <w:color w:val="0070C0"/>
          <w:sz w:val="24"/>
          <w:szCs w:val="24"/>
          <w:lang w:eastAsia="ja-JP"/>
        </w:rPr>
      </w:pPr>
      <w:r w:rsidRPr="00047367">
        <w:rPr>
          <w:rFonts w:asciiTheme="majorHAnsi" w:hAnsiTheme="majorHAnsi"/>
          <w:b/>
          <w:color w:val="0070C0"/>
          <w:sz w:val="24"/>
          <w:szCs w:val="24"/>
        </w:rPr>
        <w:t>October</w:t>
      </w:r>
      <w:r w:rsidR="00715679" w:rsidRPr="00047367">
        <w:rPr>
          <w:rFonts w:asciiTheme="majorHAnsi" w:hAnsiTheme="majorHAnsi"/>
          <w:b/>
          <w:color w:val="0070C0"/>
          <w:sz w:val="24"/>
          <w:szCs w:val="24"/>
        </w:rPr>
        <w:t xml:space="preserve"> 2014</w:t>
      </w:r>
      <w:bookmarkStart w:id="0" w:name="_GoBack"/>
      <w:bookmarkEnd w:id="0"/>
    </w:p>
    <w:p w14:paraId="6E740E30" w14:textId="77777777" w:rsidR="006F7B67" w:rsidRPr="00047367" w:rsidRDefault="003302B3" w:rsidP="00525D17">
      <w:pPr>
        <w:pStyle w:val="ListParagraph"/>
        <w:numPr>
          <w:ilvl w:val="0"/>
          <w:numId w:val="7"/>
        </w:numPr>
        <w:jc w:val="both"/>
        <w:rPr>
          <w:rFonts w:asciiTheme="majorHAnsi" w:eastAsia="Calibri" w:hAnsiTheme="majorHAnsi"/>
          <w:b/>
          <w:color w:val="0070C0"/>
          <w:sz w:val="24"/>
          <w:szCs w:val="24"/>
        </w:rPr>
      </w:pPr>
      <w:r w:rsidRPr="00047367">
        <w:rPr>
          <w:rFonts w:asciiTheme="majorHAnsi" w:eastAsia="Calibri" w:hAnsiTheme="majorHAnsi"/>
          <w:b/>
          <w:color w:val="0070C0"/>
          <w:sz w:val="24"/>
          <w:szCs w:val="24"/>
        </w:rPr>
        <w:t>Introduction</w:t>
      </w:r>
    </w:p>
    <w:p w14:paraId="75514145" w14:textId="4706F9F1" w:rsidR="005730D6" w:rsidRDefault="003B6490" w:rsidP="00525D17">
      <w:p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During the fiscal 2013-2014, </w:t>
      </w:r>
      <w:r w:rsidR="00391B22">
        <w:rPr>
          <w:rFonts w:asciiTheme="majorHAnsi" w:eastAsia="Calibri" w:hAnsiTheme="majorHAnsi"/>
          <w:color w:val="000000"/>
          <w:sz w:val="24"/>
          <w:szCs w:val="24"/>
        </w:rPr>
        <w:t>notable progress was made in W</w:t>
      </w:r>
      <w:r w:rsidR="00D21623">
        <w:rPr>
          <w:rFonts w:asciiTheme="majorHAnsi" w:eastAsia="Calibri" w:hAnsiTheme="majorHAnsi"/>
          <w:color w:val="000000"/>
          <w:sz w:val="24"/>
          <w:szCs w:val="24"/>
        </w:rPr>
        <w:t>ATSAN</w:t>
      </w:r>
      <w:r w:rsidR="00391B22">
        <w:rPr>
          <w:rFonts w:asciiTheme="majorHAnsi" w:eastAsia="Calibri" w:hAnsiTheme="majorHAnsi"/>
          <w:color w:val="000000"/>
          <w:sz w:val="24"/>
          <w:szCs w:val="24"/>
        </w:rPr>
        <w:t xml:space="preserve"> sector, especially with regard to increasing access and sector institutional reforms.  T</w:t>
      </w:r>
      <w:r w:rsidRPr="00047367">
        <w:rPr>
          <w:rFonts w:asciiTheme="majorHAnsi" w:eastAsia="Calibri" w:hAnsiTheme="majorHAnsi"/>
          <w:color w:val="000000"/>
          <w:sz w:val="24"/>
          <w:szCs w:val="24"/>
        </w:rPr>
        <w:t>he Energy, Water and Sanitation Authority was replaced by a transitional company Energy, Water and Sanitation Limited</w:t>
      </w:r>
      <w:r w:rsidR="00391B22">
        <w:rPr>
          <w:rFonts w:asciiTheme="majorHAnsi" w:eastAsia="Calibri" w:hAnsiTheme="majorHAnsi"/>
          <w:color w:val="000000"/>
          <w:sz w:val="24"/>
          <w:szCs w:val="24"/>
        </w:rPr>
        <w:t xml:space="preserve">, which was subsequently </w:t>
      </w:r>
      <w:r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divided into two companies </w:t>
      </w:r>
      <w:r w:rsidR="00391B22">
        <w:rPr>
          <w:rFonts w:asciiTheme="majorHAnsi" w:eastAsia="Calibri" w:hAnsiTheme="majorHAnsi"/>
          <w:color w:val="000000"/>
          <w:sz w:val="24"/>
          <w:szCs w:val="24"/>
        </w:rPr>
        <w:t xml:space="preserve">i.e. </w:t>
      </w:r>
      <w:r w:rsidRPr="00047367">
        <w:rPr>
          <w:rFonts w:asciiTheme="majorHAnsi" w:eastAsia="Calibri" w:hAnsiTheme="majorHAnsi"/>
          <w:color w:val="000000"/>
          <w:sz w:val="24"/>
          <w:szCs w:val="24"/>
        </w:rPr>
        <w:t>Rwanda Energy Group (REG) and the Water and Sanitation Corporation</w:t>
      </w:r>
      <w:r w:rsidR="00391B22">
        <w:rPr>
          <w:rFonts w:asciiTheme="majorHAnsi" w:eastAsia="Calibri" w:hAnsiTheme="majorHAnsi"/>
          <w:color w:val="000000"/>
          <w:sz w:val="24"/>
          <w:szCs w:val="24"/>
        </w:rPr>
        <w:t xml:space="preserve"> (WASAC)</w:t>
      </w:r>
      <w:r w:rsidR="0062676C">
        <w:rPr>
          <w:rFonts w:asciiTheme="majorHAnsi" w:eastAsia="Calibri" w:hAnsiTheme="majorHAnsi"/>
          <w:color w:val="000000"/>
          <w:sz w:val="24"/>
          <w:szCs w:val="24"/>
        </w:rPr>
        <w:t>.</w:t>
      </w:r>
      <w:r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 </w:t>
      </w:r>
    </w:p>
    <w:p w14:paraId="4941DB64" w14:textId="5B091CC3" w:rsidR="00C96C6E" w:rsidRPr="00047367" w:rsidRDefault="0062676C" w:rsidP="00525D17">
      <w:p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>
        <w:rPr>
          <w:rFonts w:asciiTheme="majorHAnsi" w:eastAsia="Calibri" w:hAnsiTheme="majorHAnsi"/>
          <w:color w:val="000000"/>
          <w:sz w:val="24"/>
          <w:szCs w:val="24"/>
        </w:rPr>
        <w:t>T</w:t>
      </w:r>
      <w:r w:rsidR="003B6490"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he Water and Sanitation Sector Secretariat was also established and a Coordinator was </w:t>
      </w:r>
      <w:r w:rsidR="00391B22">
        <w:rPr>
          <w:rFonts w:asciiTheme="majorHAnsi" w:eastAsia="Calibri" w:hAnsiTheme="majorHAnsi"/>
          <w:color w:val="000000"/>
          <w:sz w:val="24"/>
          <w:szCs w:val="24"/>
        </w:rPr>
        <w:t xml:space="preserve">appointed.  This initiative will </w:t>
      </w:r>
      <w:r w:rsidR="003B6490"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enable </w:t>
      </w:r>
      <w:r w:rsidR="00391B22">
        <w:rPr>
          <w:rFonts w:asciiTheme="majorHAnsi" w:eastAsia="Calibri" w:hAnsiTheme="majorHAnsi"/>
          <w:color w:val="000000"/>
          <w:sz w:val="24"/>
          <w:szCs w:val="24"/>
        </w:rPr>
        <w:t xml:space="preserve">improved </w:t>
      </w:r>
      <w:r w:rsidR="003B6490"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coordination </w:t>
      </w:r>
      <w:r w:rsidR="00391B22">
        <w:rPr>
          <w:rFonts w:asciiTheme="majorHAnsi" w:eastAsia="Calibri" w:hAnsiTheme="majorHAnsi"/>
          <w:color w:val="000000"/>
          <w:sz w:val="24"/>
          <w:szCs w:val="24"/>
        </w:rPr>
        <w:t>among</w:t>
      </w:r>
      <w:r w:rsidR="00391B22"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 </w:t>
      </w:r>
      <w:r w:rsidR="003B6490" w:rsidRPr="00047367">
        <w:rPr>
          <w:rFonts w:asciiTheme="majorHAnsi" w:eastAsia="Calibri" w:hAnsiTheme="majorHAnsi"/>
          <w:color w:val="000000"/>
          <w:sz w:val="24"/>
          <w:szCs w:val="24"/>
        </w:rPr>
        <w:t>all the stakeholders</w:t>
      </w:r>
      <w:r w:rsidR="00C96C6E"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 in the Water and Sanitation Sector. </w:t>
      </w:r>
    </w:p>
    <w:p w14:paraId="7E8A77BF" w14:textId="48544628" w:rsidR="006F7B67" w:rsidRPr="00047367" w:rsidRDefault="00C96C6E" w:rsidP="00525D17">
      <w:p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The </w:t>
      </w:r>
      <w:r w:rsidR="00391B22">
        <w:rPr>
          <w:rFonts w:asciiTheme="majorHAnsi" w:eastAsia="Calibri" w:hAnsiTheme="majorHAnsi"/>
          <w:color w:val="000000"/>
          <w:sz w:val="24"/>
          <w:szCs w:val="24"/>
        </w:rPr>
        <w:t>coverage of</w:t>
      </w:r>
      <w:r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 </w:t>
      </w:r>
      <w:r w:rsidR="00391B22">
        <w:rPr>
          <w:rFonts w:asciiTheme="majorHAnsi" w:eastAsia="Calibri" w:hAnsiTheme="majorHAnsi"/>
          <w:color w:val="000000"/>
          <w:sz w:val="24"/>
          <w:szCs w:val="24"/>
        </w:rPr>
        <w:t>improved</w:t>
      </w:r>
      <w:r w:rsidR="00391B22"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 </w:t>
      </w:r>
      <w:r w:rsidR="00391B22">
        <w:rPr>
          <w:rFonts w:asciiTheme="majorHAnsi" w:eastAsia="Calibri" w:hAnsiTheme="majorHAnsi"/>
          <w:color w:val="000000"/>
          <w:sz w:val="24"/>
          <w:szCs w:val="24"/>
        </w:rPr>
        <w:t>water supply and sanitation in Rwanda</w:t>
      </w:r>
      <w:r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 </w:t>
      </w:r>
      <w:r w:rsidR="00391B22">
        <w:rPr>
          <w:rFonts w:asciiTheme="majorHAnsi" w:eastAsia="Calibri" w:hAnsiTheme="majorHAnsi"/>
          <w:color w:val="000000"/>
          <w:sz w:val="24"/>
          <w:szCs w:val="24"/>
        </w:rPr>
        <w:t xml:space="preserve">is estimated at </w:t>
      </w:r>
      <w:r w:rsidRPr="00047367">
        <w:rPr>
          <w:rFonts w:asciiTheme="majorHAnsi" w:eastAsia="Calibri" w:hAnsiTheme="majorHAnsi"/>
          <w:color w:val="000000"/>
          <w:sz w:val="24"/>
          <w:szCs w:val="24"/>
        </w:rPr>
        <w:t>75.7% (Source: MIS</w:t>
      </w:r>
      <w:r w:rsidR="00391B22">
        <w:rPr>
          <w:rFonts w:asciiTheme="majorHAnsi" w:eastAsia="Calibri" w:hAnsiTheme="majorHAnsi"/>
          <w:color w:val="000000"/>
          <w:sz w:val="24"/>
          <w:szCs w:val="24"/>
        </w:rPr>
        <w:t>, 2014</w:t>
      </w:r>
      <w:r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) </w:t>
      </w:r>
      <w:r w:rsidR="00391B22">
        <w:rPr>
          <w:rFonts w:asciiTheme="majorHAnsi" w:eastAsia="Calibri" w:hAnsiTheme="majorHAnsi"/>
          <w:color w:val="000000"/>
          <w:sz w:val="24"/>
          <w:szCs w:val="24"/>
        </w:rPr>
        <w:t xml:space="preserve">and </w:t>
      </w:r>
      <w:r w:rsidRPr="00047367">
        <w:rPr>
          <w:rFonts w:asciiTheme="majorHAnsi" w:eastAsia="Calibri" w:hAnsiTheme="majorHAnsi"/>
          <w:color w:val="000000"/>
          <w:sz w:val="24"/>
          <w:szCs w:val="24"/>
        </w:rPr>
        <w:t>7</w:t>
      </w:r>
      <w:r w:rsidR="00391B22">
        <w:rPr>
          <w:rFonts w:asciiTheme="majorHAnsi" w:eastAsia="Calibri" w:hAnsiTheme="majorHAnsi"/>
          <w:color w:val="000000"/>
          <w:sz w:val="24"/>
          <w:szCs w:val="24"/>
        </w:rPr>
        <w:t>4.5</w:t>
      </w:r>
      <w:r w:rsidRPr="00047367">
        <w:rPr>
          <w:rFonts w:asciiTheme="majorHAnsi" w:eastAsia="Calibri" w:hAnsiTheme="majorHAnsi"/>
          <w:color w:val="000000"/>
          <w:sz w:val="24"/>
          <w:szCs w:val="24"/>
        </w:rPr>
        <w:t>% (Source: EICV 3).</w:t>
      </w:r>
    </w:p>
    <w:p w14:paraId="2120D439" w14:textId="77777777" w:rsidR="00CA4F15" w:rsidRPr="00047367" w:rsidRDefault="003302B3" w:rsidP="00525D17">
      <w:pPr>
        <w:pStyle w:val="ListParagraph"/>
        <w:numPr>
          <w:ilvl w:val="0"/>
          <w:numId w:val="7"/>
        </w:numPr>
        <w:jc w:val="both"/>
        <w:rPr>
          <w:rFonts w:asciiTheme="majorHAnsi" w:eastAsia="Calibri" w:hAnsiTheme="majorHAnsi"/>
          <w:b/>
          <w:color w:val="0070C0"/>
          <w:sz w:val="24"/>
          <w:szCs w:val="24"/>
        </w:rPr>
      </w:pPr>
      <w:r w:rsidRPr="00047367">
        <w:rPr>
          <w:rFonts w:asciiTheme="majorHAnsi" w:hAnsiTheme="majorHAnsi"/>
          <w:b/>
          <w:color w:val="0070C0"/>
          <w:sz w:val="24"/>
          <w:szCs w:val="24"/>
        </w:rPr>
        <w:t>Progress in achieving sector objectives</w:t>
      </w:r>
    </w:p>
    <w:p w14:paraId="037A4FAD" w14:textId="7949B744" w:rsidR="006F7B67" w:rsidRPr="00047367" w:rsidRDefault="006F7B67" w:rsidP="00525D17">
      <w:p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color w:val="000000"/>
          <w:sz w:val="24"/>
          <w:szCs w:val="24"/>
        </w:rPr>
        <w:t>The following section describe</w:t>
      </w:r>
      <w:r w:rsidR="00DD0D0F">
        <w:rPr>
          <w:rFonts w:asciiTheme="majorHAnsi" w:eastAsia="Calibri" w:hAnsiTheme="majorHAnsi"/>
          <w:color w:val="000000"/>
          <w:sz w:val="24"/>
          <w:szCs w:val="24"/>
        </w:rPr>
        <w:t>s</w:t>
      </w:r>
      <w:r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 the main achievements within the WATSAN Sector </w:t>
      </w:r>
      <w:r w:rsidR="00DD0D0F">
        <w:rPr>
          <w:rFonts w:asciiTheme="majorHAnsi" w:eastAsia="Calibri" w:hAnsiTheme="majorHAnsi"/>
          <w:color w:val="000000"/>
          <w:sz w:val="24"/>
          <w:szCs w:val="24"/>
        </w:rPr>
        <w:t xml:space="preserve">supported </w:t>
      </w:r>
      <w:r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by </w:t>
      </w:r>
      <w:r w:rsidR="00DD0D0F">
        <w:rPr>
          <w:rFonts w:asciiTheme="majorHAnsi" w:eastAsia="Calibri" w:hAnsiTheme="majorHAnsi"/>
          <w:color w:val="000000"/>
          <w:sz w:val="24"/>
          <w:szCs w:val="24"/>
        </w:rPr>
        <w:t xml:space="preserve">the Government of Rwanda as well as </w:t>
      </w:r>
      <w:r w:rsidRPr="00047367">
        <w:rPr>
          <w:rFonts w:asciiTheme="majorHAnsi" w:eastAsia="Calibri" w:hAnsiTheme="majorHAnsi"/>
          <w:color w:val="000000"/>
          <w:sz w:val="24"/>
          <w:szCs w:val="24"/>
        </w:rPr>
        <w:t>development partners:</w:t>
      </w:r>
    </w:p>
    <w:p w14:paraId="064F3F79" w14:textId="77777777" w:rsidR="006F7B67" w:rsidRPr="00047367" w:rsidRDefault="00583192" w:rsidP="00F6394B">
      <w:pPr>
        <w:pStyle w:val="ListParagraph"/>
        <w:numPr>
          <w:ilvl w:val="0"/>
          <w:numId w:val="2"/>
        </w:numPr>
        <w:ind w:left="450"/>
        <w:jc w:val="both"/>
        <w:rPr>
          <w:rFonts w:asciiTheme="majorHAnsi" w:eastAsia="Calibri" w:hAnsiTheme="majorHAnsi"/>
          <w:b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b/>
          <w:color w:val="000000"/>
          <w:sz w:val="24"/>
          <w:szCs w:val="24"/>
        </w:rPr>
        <w:t>Access to clean drinking water</w:t>
      </w:r>
    </w:p>
    <w:p w14:paraId="7DAAA303" w14:textId="77777777" w:rsidR="00AF3091" w:rsidRPr="00047367" w:rsidRDefault="00C16B3E" w:rsidP="00525D1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color w:val="000000"/>
          <w:sz w:val="24"/>
          <w:szCs w:val="24"/>
        </w:rPr>
        <w:lastRenderedPageBreak/>
        <w:t>Construction of 548 Km of new water supply system in rural areas</w:t>
      </w:r>
    </w:p>
    <w:p w14:paraId="163CAE7E" w14:textId="77777777" w:rsidR="00C16B3E" w:rsidRPr="00047367" w:rsidRDefault="00C16B3E" w:rsidP="00525D1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color w:val="000000"/>
          <w:sz w:val="24"/>
          <w:szCs w:val="24"/>
        </w:rPr>
        <w:t>Construction of 347 km of new water supply system in urban areas</w:t>
      </w:r>
    </w:p>
    <w:p w14:paraId="30FEC9C0" w14:textId="77777777" w:rsidR="00C16B3E" w:rsidRPr="00047367" w:rsidRDefault="00C16B3E" w:rsidP="00525D1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color w:val="000000"/>
          <w:sz w:val="24"/>
          <w:szCs w:val="24"/>
        </w:rPr>
        <w:t>Rehabilitation of 119 Km of existing water supply system</w:t>
      </w:r>
    </w:p>
    <w:p w14:paraId="398EAA82" w14:textId="77777777" w:rsidR="00C16B3E" w:rsidRPr="00047367" w:rsidRDefault="00C16B3E" w:rsidP="00525D1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color w:val="000000"/>
          <w:sz w:val="24"/>
          <w:szCs w:val="24"/>
        </w:rPr>
        <w:t>590,548 new people were supplied with clean drinking water</w:t>
      </w:r>
    </w:p>
    <w:p w14:paraId="31301C50" w14:textId="77777777" w:rsidR="00C16B3E" w:rsidRPr="00047367" w:rsidRDefault="00305DBA" w:rsidP="00525D1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color w:val="000000"/>
          <w:sz w:val="24"/>
          <w:szCs w:val="24"/>
        </w:rPr>
        <w:t>41,153,620 m</w:t>
      </w:r>
      <w:r w:rsidRPr="00047367">
        <w:rPr>
          <w:rFonts w:asciiTheme="majorHAnsi" w:eastAsia="Calibri" w:hAnsiTheme="majorHAnsi"/>
          <w:color w:val="000000"/>
          <w:sz w:val="24"/>
          <w:szCs w:val="24"/>
          <w:vertAlign w:val="superscript"/>
        </w:rPr>
        <w:t>3</w:t>
      </w:r>
      <w:r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 volume of water were produced</w:t>
      </w:r>
      <w:r w:rsidR="00C16B3E"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 which represent an increase of 10.9% of water production from last year production</w:t>
      </w:r>
    </w:p>
    <w:p w14:paraId="1DBAEFCC" w14:textId="77777777" w:rsidR="00305DBA" w:rsidRPr="00047367" w:rsidRDefault="00305DBA" w:rsidP="00525D1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color w:val="000000"/>
          <w:sz w:val="24"/>
          <w:szCs w:val="24"/>
        </w:rPr>
        <w:t>4 mobile water treatment plant with a capacity of producing 2,000 m</w:t>
      </w:r>
      <w:r w:rsidRPr="00047367">
        <w:rPr>
          <w:rFonts w:asciiTheme="majorHAnsi" w:eastAsia="Calibri" w:hAnsiTheme="majorHAnsi"/>
          <w:color w:val="000000"/>
          <w:sz w:val="24"/>
          <w:szCs w:val="24"/>
          <w:vertAlign w:val="superscript"/>
        </w:rPr>
        <w:t>3</w:t>
      </w:r>
      <w:r w:rsidRPr="00047367">
        <w:rPr>
          <w:rFonts w:asciiTheme="majorHAnsi" w:eastAsia="Calibri" w:hAnsiTheme="majorHAnsi"/>
          <w:color w:val="000000"/>
          <w:sz w:val="24"/>
          <w:szCs w:val="24"/>
        </w:rPr>
        <w:t>/day each was installed in Bugesera, Nyanza, Nyagatare and Rwamagana</w:t>
      </w:r>
    </w:p>
    <w:p w14:paraId="278E2A92" w14:textId="77777777" w:rsidR="00305DBA" w:rsidRPr="00047367" w:rsidRDefault="00305DBA" w:rsidP="00525D1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color w:val="000000"/>
          <w:sz w:val="24"/>
          <w:szCs w:val="24"/>
        </w:rPr>
        <w:t>Training modules</w:t>
      </w:r>
      <w:r w:rsidR="00F92DAC"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 </w:t>
      </w:r>
      <w:r w:rsidR="00FB4D66"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(themes or topics) </w:t>
      </w:r>
      <w:r w:rsidR="00F92DAC" w:rsidRPr="00047367">
        <w:rPr>
          <w:rFonts w:asciiTheme="majorHAnsi" w:eastAsia="Calibri" w:hAnsiTheme="majorHAnsi"/>
          <w:color w:val="000000"/>
          <w:sz w:val="24"/>
          <w:szCs w:val="24"/>
        </w:rPr>
        <w:t>as well as model</w:t>
      </w:r>
      <w:r w:rsidR="00FB4D66"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 contract</w:t>
      </w:r>
      <w:r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 were elaborated </w:t>
      </w:r>
      <w:r w:rsidR="00F92DAC" w:rsidRPr="00047367">
        <w:rPr>
          <w:rFonts w:asciiTheme="majorHAnsi" w:eastAsia="Calibri" w:hAnsiTheme="majorHAnsi"/>
          <w:color w:val="000000"/>
          <w:sz w:val="24"/>
          <w:szCs w:val="24"/>
        </w:rPr>
        <w:t>for a better Operation and Maintenance of rural water supply systems</w:t>
      </w:r>
    </w:p>
    <w:p w14:paraId="1403E521" w14:textId="1C08A850" w:rsidR="00F92DAC" w:rsidRPr="00047367" w:rsidRDefault="00F92DAC" w:rsidP="00525D1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Training of trainers were conducted </w:t>
      </w:r>
      <w:r w:rsidRPr="00047367">
        <w:rPr>
          <w:rFonts w:asciiTheme="majorHAnsi" w:hAnsiTheme="majorHAnsi"/>
          <w:sz w:val="24"/>
          <w:szCs w:val="24"/>
        </w:rPr>
        <w:t>regarding M&amp;E, PPP Contract and Tender document, assets management in rural water supply systems, service quality, cost recovery and O&amp;M for rural water supply system</w:t>
      </w:r>
      <w:r w:rsidRPr="00047367">
        <w:rPr>
          <w:rFonts w:asciiTheme="majorHAnsi" w:eastAsia="Calibri" w:hAnsiTheme="majorHAnsi"/>
          <w:sz w:val="24"/>
          <w:szCs w:val="24"/>
        </w:rPr>
        <w:t xml:space="preserve"> </w:t>
      </w:r>
    </w:p>
    <w:p w14:paraId="7479DE67" w14:textId="77777777" w:rsidR="009C343A" w:rsidRPr="00047367" w:rsidRDefault="009C343A" w:rsidP="00525D17">
      <w:pPr>
        <w:pStyle w:val="ListParagraph"/>
        <w:ind w:left="765"/>
        <w:jc w:val="both"/>
        <w:rPr>
          <w:rFonts w:asciiTheme="majorHAnsi" w:eastAsia="Calibri" w:hAnsiTheme="majorHAnsi"/>
          <w:color w:val="000000"/>
          <w:sz w:val="24"/>
          <w:szCs w:val="24"/>
        </w:rPr>
      </w:pPr>
    </w:p>
    <w:p w14:paraId="02561733" w14:textId="77777777" w:rsidR="009C343A" w:rsidRPr="00047367" w:rsidRDefault="009C343A" w:rsidP="00F6394B">
      <w:pPr>
        <w:pStyle w:val="ListParagraph"/>
        <w:numPr>
          <w:ilvl w:val="1"/>
          <w:numId w:val="3"/>
        </w:numPr>
        <w:ind w:left="450"/>
        <w:jc w:val="both"/>
        <w:rPr>
          <w:rFonts w:asciiTheme="majorHAnsi" w:eastAsia="Calibri" w:hAnsiTheme="majorHAnsi"/>
          <w:b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b/>
          <w:sz w:val="24"/>
          <w:szCs w:val="24"/>
        </w:rPr>
        <w:t>Access  to improved sanitations facilities</w:t>
      </w:r>
    </w:p>
    <w:p w14:paraId="01C9996D" w14:textId="132DBB3D" w:rsidR="00B24C3A" w:rsidRPr="00047367" w:rsidRDefault="00B24C3A" w:rsidP="00525D1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sz w:val="24"/>
          <w:szCs w:val="24"/>
        </w:rPr>
        <w:t xml:space="preserve">3,790 </w:t>
      </w:r>
      <w:r w:rsidR="00FA5A55">
        <w:rPr>
          <w:rFonts w:asciiTheme="majorHAnsi" w:eastAsia="Calibri" w:hAnsiTheme="majorHAnsi"/>
          <w:sz w:val="24"/>
          <w:szCs w:val="24"/>
        </w:rPr>
        <w:t xml:space="preserve">improved household </w:t>
      </w:r>
      <w:r w:rsidRPr="00047367">
        <w:rPr>
          <w:rFonts w:asciiTheme="majorHAnsi" w:eastAsia="Calibri" w:hAnsiTheme="majorHAnsi"/>
          <w:sz w:val="24"/>
          <w:szCs w:val="24"/>
        </w:rPr>
        <w:t xml:space="preserve">latrines </w:t>
      </w:r>
      <w:r w:rsidR="00FA5A55">
        <w:rPr>
          <w:rFonts w:asciiTheme="majorHAnsi" w:eastAsia="Calibri" w:hAnsiTheme="majorHAnsi"/>
          <w:sz w:val="24"/>
          <w:szCs w:val="24"/>
        </w:rPr>
        <w:t xml:space="preserve">(benefitting over 16,000 people) </w:t>
      </w:r>
      <w:r w:rsidRPr="00047367">
        <w:rPr>
          <w:rFonts w:asciiTheme="majorHAnsi" w:eastAsia="Calibri" w:hAnsiTheme="majorHAnsi"/>
          <w:sz w:val="24"/>
          <w:szCs w:val="24"/>
        </w:rPr>
        <w:t>were constructed for vulnerable families</w:t>
      </w:r>
      <w:r w:rsidR="00FA5A55">
        <w:rPr>
          <w:rFonts w:asciiTheme="majorHAnsi" w:eastAsia="Calibri" w:hAnsiTheme="majorHAnsi"/>
          <w:sz w:val="24"/>
          <w:szCs w:val="24"/>
        </w:rPr>
        <w:t xml:space="preserve">. In addition, over 40,000 people gained access to improved sanitation facility on self-help basis. </w:t>
      </w:r>
    </w:p>
    <w:p w14:paraId="2E0F8AF8" w14:textId="77777777" w:rsidR="00B24C3A" w:rsidRPr="00047367" w:rsidRDefault="00B24C3A" w:rsidP="00525D1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sz w:val="24"/>
          <w:szCs w:val="24"/>
        </w:rPr>
        <w:t>151 blocks of public latrines were constructed at school and health centers</w:t>
      </w:r>
    </w:p>
    <w:p w14:paraId="2553118E" w14:textId="77777777" w:rsidR="00B24C3A" w:rsidRPr="00047367" w:rsidRDefault="00B24C3A" w:rsidP="00525D1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sz w:val="24"/>
          <w:szCs w:val="24"/>
        </w:rPr>
        <w:t>13 incinerators were constructed in health centers</w:t>
      </w:r>
    </w:p>
    <w:p w14:paraId="7ED54DAC" w14:textId="77777777" w:rsidR="00A7189F" w:rsidRPr="00047367" w:rsidRDefault="00A7189F" w:rsidP="00525D1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hAnsiTheme="majorHAnsi"/>
          <w:sz w:val="24"/>
          <w:szCs w:val="24"/>
        </w:rPr>
        <w:t>Over 5 million people were reached with messages on safe hygiene practices through community outreach activities and mass media</w:t>
      </w:r>
    </w:p>
    <w:p w14:paraId="5811BE90" w14:textId="77777777" w:rsidR="00A7189F" w:rsidRPr="00047367" w:rsidRDefault="00A7189F" w:rsidP="00525D1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hAnsiTheme="majorHAnsi"/>
          <w:sz w:val="24"/>
          <w:szCs w:val="24"/>
        </w:rPr>
        <w:t>More than 27,000 refugees living in camps were provided emergency WASH services. In addition, 5,700 returnees were provided emergency WASH assistance.</w:t>
      </w:r>
    </w:p>
    <w:p w14:paraId="3BC8768D" w14:textId="77777777" w:rsidR="009C343A" w:rsidRPr="00047367" w:rsidRDefault="009C343A" w:rsidP="00525D17">
      <w:pPr>
        <w:pStyle w:val="ListParagraph"/>
        <w:ind w:left="765"/>
        <w:jc w:val="both"/>
        <w:rPr>
          <w:rFonts w:asciiTheme="majorHAnsi" w:eastAsia="Calibri" w:hAnsiTheme="majorHAnsi"/>
          <w:color w:val="000000"/>
          <w:sz w:val="24"/>
          <w:szCs w:val="24"/>
        </w:rPr>
      </w:pPr>
    </w:p>
    <w:p w14:paraId="1478C9B4" w14:textId="77777777" w:rsidR="009C343A" w:rsidRPr="00047367" w:rsidRDefault="009C343A" w:rsidP="00F6394B">
      <w:pPr>
        <w:pStyle w:val="ListParagraph"/>
        <w:numPr>
          <w:ilvl w:val="1"/>
          <w:numId w:val="3"/>
        </w:numPr>
        <w:ind w:left="450"/>
        <w:jc w:val="both"/>
        <w:rPr>
          <w:rFonts w:asciiTheme="majorHAnsi" w:eastAsia="Calibri" w:hAnsiTheme="majorHAnsi"/>
          <w:b/>
          <w:color w:val="000000"/>
          <w:sz w:val="24"/>
          <w:szCs w:val="24"/>
        </w:rPr>
      </w:pPr>
      <w:r w:rsidRPr="00047367">
        <w:rPr>
          <w:rFonts w:asciiTheme="majorHAnsi" w:hAnsiTheme="majorHAnsi"/>
          <w:b/>
          <w:sz w:val="24"/>
          <w:szCs w:val="24"/>
        </w:rPr>
        <w:t>Studies</w:t>
      </w:r>
    </w:p>
    <w:p w14:paraId="2A31BF59" w14:textId="77777777" w:rsidR="00B24C3A" w:rsidRPr="00047367" w:rsidRDefault="00B24C3A" w:rsidP="00525D1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color w:val="000000"/>
          <w:sz w:val="24"/>
          <w:szCs w:val="24"/>
        </w:rPr>
        <w:t>The Contract to conduct Ny</w:t>
      </w:r>
      <w:r w:rsidR="008E29DE" w:rsidRPr="00047367">
        <w:rPr>
          <w:rFonts w:asciiTheme="majorHAnsi" w:eastAsia="Calibri" w:hAnsiTheme="majorHAnsi"/>
          <w:color w:val="000000"/>
          <w:sz w:val="24"/>
          <w:szCs w:val="24"/>
        </w:rPr>
        <w:t>a</w:t>
      </w:r>
      <w:r w:rsidRPr="00047367">
        <w:rPr>
          <w:rFonts w:asciiTheme="majorHAnsi" w:eastAsia="Calibri" w:hAnsiTheme="majorHAnsi"/>
          <w:color w:val="000000"/>
          <w:sz w:val="24"/>
          <w:szCs w:val="24"/>
        </w:rPr>
        <w:t>barongo Upstream catchment water supply m</w:t>
      </w:r>
      <w:r w:rsidR="008E29DE" w:rsidRPr="00047367">
        <w:rPr>
          <w:rFonts w:asciiTheme="majorHAnsi" w:eastAsia="Calibri" w:hAnsiTheme="majorHAnsi"/>
          <w:color w:val="000000"/>
          <w:sz w:val="24"/>
          <w:szCs w:val="24"/>
        </w:rPr>
        <w:t>aster plan has been awarded,</w:t>
      </w:r>
      <w:r w:rsidRPr="00047367">
        <w:rPr>
          <w:rFonts w:asciiTheme="majorHAnsi" w:eastAsia="Calibri" w:hAnsiTheme="majorHAnsi"/>
          <w:color w:val="000000"/>
          <w:sz w:val="24"/>
          <w:szCs w:val="24"/>
        </w:rPr>
        <w:t xml:space="preserve"> the study has started </w:t>
      </w:r>
      <w:r w:rsidR="008E29DE" w:rsidRPr="00047367">
        <w:rPr>
          <w:rFonts w:asciiTheme="majorHAnsi" w:eastAsia="Calibri" w:hAnsiTheme="majorHAnsi"/>
          <w:color w:val="000000"/>
          <w:sz w:val="24"/>
          <w:szCs w:val="24"/>
        </w:rPr>
        <w:t>and will be c</w:t>
      </w:r>
      <w:r w:rsidR="00C16B3E" w:rsidRPr="00047367">
        <w:rPr>
          <w:rFonts w:asciiTheme="majorHAnsi" w:eastAsia="Calibri" w:hAnsiTheme="majorHAnsi"/>
          <w:color w:val="000000"/>
          <w:sz w:val="24"/>
          <w:szCs w:val="24"/>
        </w:rPr>
        <w:t>ompleted in the 2014-2015 fiscal year</w:t>
      </w:r>
    </w:p>
    <w:p w14:paraId="51867E1E" w14:textId="08D5374B" w:rsidR="008E29DE" w:rsidRPr="00047367" w:rsidRDefault="008E29DE" w:rsidP="00525D1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hAnsiTheme="majorHAnsi"/>
          <w:sz w:val="24"/>
          <w:szCs w:val="24"/>
        </w:rPr>
        <w:t>The Consultant has started the engineering design for the Kigali centralized sewerage system covering Nyarugenge Districts, the study is at 70% of progress a</w:t>
      </w:r>
      <w:r w:rsidR="00FB4D66" w:rsidRPr="00047367">
        <w:rPr>
          <w:rFonts w:asciiTheme="majorHAnsi" w:hAnsiTheme="majorHAnsi"/>
          <w:sz w:val="24"/>
          <w:szCs w:val="24"/>
        </w:rPr>
        <w:t>n</w:t>
      </w:r>
      <w:r w:rsidRPr="00047367">
        <w:rPr>
          <w:rFonts w:asciiTheme="majorHAnsi" w:hAnsiTheme="majorHAnsi"/>
          <w:sz w:val="24"/>
          <w:szCs w:val="24"/>
        </w:rPr>
        <w:t>d is plan</w:t>
      </w:r>
      <w:r w:rsidR="00B60D22" w:rsidRPr="00047367">
        <w:rPr>
          <w:rFonts w:asciiTheme="majorHAnsi" w:hAnsiTheme="majorHAnsi"/>
          <w:sz w:val="24"/>
          <w:szCs w:val="24"/>
        </w:rPr>
        <w:t>ned to be completed by December 2015</w:t>
      </w:r>
      <w:r w:rsidR="00DD0D0F">
        <w:rPr>
          <w:rFonts w:asciiTheme="majorHAnsi" w:hAnsiTheme="majorHAnsi"/>
          <w:sz w:val="24"/>
          <w:szCs w:val="24"/>
        </w:rPr>
        <w:t>. F</w:t>
      </w:r>
      <w:r w:rsidRPr="00047367">
        <w:rPr>
          <w:rFonts w:asciiTheme="majorHAnsi" w:hAnsiTheme="majorHAnsi"/>
          <w:sz w:val="24"/>
          <w:szCs w:val="24"/>
        </w:rPr>
        <w:t>or the two other Districts in Kigali City (</w:t>
      </w:r>
      <w:r w:rsidR="00DD0D0F">
        <w:rPr>
          <w:rFonts w:asciiTheme="majorHAnsi" w:hAnsiTheme="majorHAnsi"/>
          <w:sz w:val="24"/>
          <w:szCs w:val="24"/>
        </w:rPr>
        <w:t xml:space="preserve">i.e. </w:t>
      </w:r>
      <w:r w:rsidRPr="00047367">
        <w:rPr>
          <w:rFonts w:asciiTheme="majorHAnsi" w:hAnsiTheme="majorHAnsi"/>
          <w:sz w:val="24"/>
          <w:szCs w:val="24"/>
        </w:rPr>
        <w:t>Kicukiro and Gasabo)</w:t>
      </w:r>
      <w:r w:rsidR="00DD0D0F">
        <w:rPr>
          <w:rFonts w:asciiTheme="majorHAnsi" w:hAnsiTheme="majorHAnsi"/>
          <w:sz w:val="24"/>
          <w:szCs w:val="24"/>
        </w:rPr>
        <w:t>,</w:t>
      </w:r>
      <w:r w:rsidRPr="00047367">
        <w:rPr>
          <w:rFonts w:asciiTheme="majorHAnsi" w:hAnsiTheme="majorHAnsi"/>
          <w:sz w:val="24"/>
          <w:szCs w:val="24"/>
        </w:rPr>
        <w:t xml:space="preserve"> </w:t>
      </w:r>
      <w:r w:rsidR="00FB4D66" w:rsidRPr="00047367">
        <w:rPr>
          <w:rFonts w:asciiTheme="majorHAnsi" w:hAnsiTheme="majorHAnsi"/>
          <w:sz w:val="24"/>
          <w:szCs w:val="24"/>
        </w:rPr>
        <w:t>the p</w:t>
      </w:r>
      <w:r w:rsidRPr="00047367">
        <w:rPr>
          <w:rFonts w:asciiTheme="majorHAnsi" w:hAnsiTheme="majorHAnsi"/>
          <w:sz w:val="24"/>
          <w:szCs w:val="24"/>
        </w:rPr>
        <w:t xml:space="preserve">rocurement process is ongoing to select a Consultant who will also carry out </w:t>
      </w:r>
      <w:r w:rsidR="00FB4D66" w:rsidRPr="00047367">
        <w:rPr>
          <w:rFonts w:asciiTheme="majorHAnsi" w:hAnsiTheme="majorHAnsi"/>
          <w:sz w:val="24"/>
          <w:szCs w:val="24"/>
        </w:rPr>
        <w:t>the same assignment.</w:t>
      </w:r>
    </w:p>
    <w:p w14:paraId="2FA11500" w14:textId="77777777" w:rsidR="000D6182" w:rsidRPr="00047367" w:rsidRDefault="008E29DE" w:rsidP="00525D1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hAnsiTheme="majorHAnsi"/>
          <w:sz w:val="24"/>
          <w:szCs w:val="24"/>
        </w:rPr>
        <w:t xml:space="preserve">Finally, </w:t>
      </w:r>
      <w:r w:rsidR="000414E1" w:rsidRPr="00047367">
        <w:rPr>
          <w:rFonts w:asciiTheme="majorHAnsi" w:hAnsiTheme="majorHAnsi"/>
          <w:sz w:val="24"/>
          <w:szCs w:val="24"/>
        </w:rPr>
        <w:t>the p</w:t>
      </w:r>
      <w:r w:rsidRPr="00047367">
        <w:rPr>
          <w:rFonts w:asciiTheme="majorHAnsi" w:hAnsiTheme="majorHAnsi"/>
          <w:sz w:val="24"/>
          <w:szCs w:val="24"/>
        </w:rPr>
        <w:t>rocurement process is also ongoing to select a Consultant who will conduct a Sanitation Master Plan study for the District</w:t>
      </w:r>
      <w:r w:rsidR="000414E1" w:rsidRPr="00047367">
        <w:rPr>
          <w:rFonts w:asciiTheme="majorHAnsi" w:hAnsiTheme="majorHAnsi"/>
          <w:sz w:val="24"/>
          <w:szCs w:val="24"/>
        </w:rPr>
        <w:t>s</w:t>
      </w:r>
      <w:r w:rsidRPr="00047367">
        <w:rPr>
          <w:rFonts w:asciiTheme="majorHAnsi" w:hAnsiTheme="majorHAnsi"/>
          <w:sz w:val="24"/>
          <w:szCs w:val="24"/>
        </w:rPr>
        <w:t xml:space="preserve"> of Huye, Muhanga and Rwamagana.</w:t>
      </w:r>
    </w:p>
    <w:p w14:paraId="51AF5B25" w14:textId="77777777" w:rsidR="00946E01" w:rsidRDefault="00946E01" w:rsidP="00525D17">
      <w:pPr>
        <w:pStyle w:val="ListParagraph"/>
        <w:ind w:left="765"/>
        <w:jc w:val="both"/>
        <w:rPr>
          <w:rFonts w:asciiTheme="majorHAnsi" w:eastAsia="Calibri" w:hAnsiTheme="majorHAnsi"/>
          <w:color w:val="000000"/>
          <w:sz w:val="24"/>
          <w:szCs w:val="24"/>
        </w:rPr>
      </w:pPr>
    </w:p>
    <w:p w14:paraId="20C94E06" w14:textId="77777777" w:rsidR="00FA16FE" w:rsidRDefault="00FA16FE" w:rsidP="00525D17">
      <w:pPr>
        <w:pStyle w:val="ListParagraph"/>
        <w:ind w:left="765"/>
        <w:jc w:val="both"/>
        <w:rPr>
          <w:rFonts w:asciiTheme="majorHAnsi" w:eastAsia="Calibri" w:hAnsiTheme="majorHAnsi"/>
          <w:color w:val="000000"/>
          <w:sz w:val="24"/>
          <w:szCs w:val="24"/>
        </w:rPr>
      </w:pPr>
    </w:p>
    <w:p w14:paraId="65C2F63F" w14:textId="77777777" w:rsidR="00FA16FE" w:rsidRPr="00047367" w:rsidRDefault="00FA16FE" w:rsidP="00525D17">
      <w:pPr>
        <w:pStyle w:val="ListParagraph"/>
        <w:ind w:left="765"/>
        <w:jc w:val="both"/>
        <w:rPr>
          <w:rFonts w:asciiTheme="majorHAnsi" w:eastAsia="Calibri" w:hAnsiTheme="majorHAnsi"/>
          <w:color w:val="000000"/>
          <w:sz w:val="24"/>
          <w:szCs w:val="24"/>
        </w:rPr>
      </w:pPr>
    </w:p>
    <w:p w14:paraId="4F48727B" w14:textId="77777777" w:rsidR="0025235E" w:rsidRPr="00047367" w:rsidRDefault="001A3172" w:rsidP="00525D17">
      <w:pPr>
        <w:pStyle w:val="ListParagraph"/>
        <w:numPr>
          <w:ilvl w:val="0"/>
          <w:numId w:val="7"/>
        </w:numPr>
        <w:jc w:val="both"/>
        <w:rPr>
          <w:rFonts w:asciiTheme="majorHAnsi" w:eastAsia="Calibri" w:hAnsiTheme="majorHAnsi"/>
          <w:b/>
          <w:color w:val="0070C0"/>
          <w:sz w:val="24"/>
          <w:szCs w:val="24"/>
        </w:rPr>
      </w:pPr>
      <w:r w:rsidRPr="00047367">
        <w:rPr>
          <w:rFonts w:asciiTheme="majorHAnsi" w:eastAsia="Calibri" w:hAnsiTheme="majorHAnsi"/>
          <w:b/>
          <w:color w:val="0070C0"/>
          <w:sz w:val="24"/>
          <w:szCs w:val="24"/>
        </w:rPr>
        <w:lastRenderedPageBreak/>
        <w:t xml:space="preserve">Priority </w:t>
      </w:r>
      <w:r w:rsidR="009C343A" w:rsidRPr="00047367">
        <w:rPr>
          <w:rFonts w:asciiTheme="majorHAnsi" w:eastAsia="Calibri" w:hAnsiTheme="majorHAnsi"/>
          <w:b/>
          <w:color w:val="0070C0"/>
          <w:sz w:val="24"/>
          <w:szCs w:val="24"/>
        </w:rPr>
        <w:t>Budget execution performance</w:t>
      </w:r>
    </w:p>
    <w:p w14:paraId="295CC2EF" w14:textId="77777777" w:rsidR="00525D17" w:rsidRPr="00047367" w:rsidRDefault="00525D17" w:rsidP="00525D17">
      <w:pPr>
        <w:pStyle w:val="ListParagraph"/>
        <w:jc w:val="both"/>
        <w:rPr>
          <w:rFonts w:asciiTheme="majorHAnsi" w:eastAsia="Calibri" w:hAnsiTheme="majorHAnsi"/>
          <w:b/>
          <w:color w:val="0070C0"/>
          <w:sz w:val="24"/>
          <w:szCs w:val="24"/>
        </w:rPr>
      </w:pPr>
    </w:p>
    <w:p w14:paraId="66AF1407" w14:textId="241DC091" w:rsidR="00946E01" w:rsidRDefault="00946E01" w:rsidP="00525D17">
      <w:pPr>
        <w:pStyle w:val="ListParagraph"/>
        <w:jc w:val="both"/>
        <w:rPr>
          <w:rFonts w:asciiTheme="majorHAnsi" w:eastAsia="Calibri" w:hAnsiTheme="majorHAnsi"/>
          <w:sz w:val="24"/>
          <w:szCs w:val="24"/>
        </w:rPr>
      </w:pPr>
      <w:r w:rsidRPr="00047367">
        <w:rPr>
          <w:rFonts w:asciiTheme="majorHAnsi" w:eastAsia="Calibri" w:hAnsiTheme="majorHAnsi"/>
          <w:sz w:val="24"/>
          <w:szCs w:val="24"/>
        </w:rPr>
        <w:t xml:space="preserve">During the </w:t>
      </w:r>
      <w:r w:rsidR="00CF432F" w:rsidRPr="00047367">
        <w:rPr>
          <w:rFonts w:asciiTheme="majorHAnsi" w:eastAsia="Calibri" w:hAnsiTheme="majorHAnsi"/>
          <w:sz w:val="24"/>
          <w:szCs w:val="24"/>
        </w:rPr>
        <w:t>20</w:t>
      </w:r>
      <w:r w:rsidR="00CF432F">
        <w:rPr>
          <w:rFonts w:asciiTheme="majorHAnsi" w:hAnsiTheme="majorHAnsi" w:hint="eastAsia"/>
          <w:sz w:val="24"/>
          <w:szCs w:val="24"/>
          <w:lang w:eastAsia="ja-JP"/>
        </w:rPr>
        <w:t>13</w:t>
      </w:r>
      <w:r w:rsidRPr="00047367">
        <w:rPr>
          <w:rFonts w:asciiTheme="majorHAnsi" w:eastAsia="Calibri" w:hAnsiTheme="majorHAnsi"/>
          <w:sz w:val="24"/>
          <w:szCs w:val="24"/>
        </w:rPr>
        <w:t xml:space="preserve">-2014 fiscal year, the WATSAN Sector </w:t>
      </w:r>
      <w:r w:rsidR="00DD0D0F">
        <w:rPr>
          <w:rFonts w:asciiTheme="majorHAnsi" w:eastAsia="Calibri" w:hAnsiTheme="majorHAnsi"/>
          <w:sz w:val="24"/>
          <w:szCs w:val="24"/>
        </w:rPr>
        <w:t>was</w:t>
      </w:r>
      <w:r w:rsidR="00DD0D0F" w:rsidRPr="00047367">
        <w:rPr>
          <w:rFonts w:asciiTheme="majorHAnsi" w:eastAsia="Calibri" w:hAnsiTheme="majorHAnsi"/>
          <w:sz w:val="24"/>
          <w:szCs w:val="24"/>
        </w:rPr>
        <w:t xml:space="preserve"> </w:t>
      </w:r>
      <w:r w:rsidRPr="00047367">
        <w:rPr>
          <w:rFonts w:asciiTheme="majorHAnsi" w:eastAsia="Calibri" w:hAnsiTheme="majorHAnsi"/>
          <w:sz w:val="24"/>
          <w:szCs w:val="24"/>
        </w:rPr>
        <w:t xml:space="preserve">allocated </w:t>
      </w:r>
      <w:r w:rsidR="00DD0D0F">
        <w:rPr>
          <w:rFonts w:asciiTheme="majorHAnsi" w:eastAsia="Calibri" w:hAnsiTheme="majorHAnsi"/>
          <w:sz w:val="24"/>
          <w:szCs w:val="24"/>
        </w:rPr>
        <w:t xml:space="preserve">funds </w:t>
      </w:r>
      <w:r w:rsidRPr="00047367">
        <w:rPr>
          <w:rFonts w:asciiTheme="majorHAnsi" w:eastAsia="Calibri" w:hAnsiTheme="majorHAnsi"/>
          <w:sz w:val="24"/>
          <w:szCs w:val="24"/>
        </w:rPr>
        <w:t>from the Ministry of Finance and Economic Planning (MINECOFIN)</w:t>
      </w:r>
      <w:r w:rsidR="00DD0D0F">
        <w:rPr>
          <w:rFonts w:asciiTheme="majorHAnsi" w:eastAsia="Calibri" w:hAnsiTheme="majorHAnsi"/>
          <w:sz w:val="24"/>
          <w:szCs w:val="24"/>
        </w:rPr>
        <w:t xml:space="preserve"> as follows: (i)</w:t>
      </w:r>
      <w:r w:rsidR="00C972D0">
        <w:rPr>
          <w:rFonts w:asciiTheme="majorHAnsi" w:eastAsia="Calibri" w:hAnsiTheme="majorHAnsi"/>
          <w:sz w:val="24"/>
          <w:szCs w:val="24"/>
        </w:rPr>
        <w:t xml:space="preserve"> Domestic funding = </w:t>
      </w:r>
      <w:r w:rsidR="00DD0D0F">
        <w:rPr>
          <w:rFonts w:asciiTheme="majorHAnsi" w:eastAsia="Calibri" w:hAnsiTheme="majorHAnsi"/>
          <w:sz w:val="24"/>
          <w:szCs w:val="24"/>
        </w:rPr>
        <w:t>R</w:t>
      </w:r>
      <w:r w:rsidR="00C972D0">
        <w:rPr>
          <w:rFonts w:asciiTheme="majorHAnsi" w:eastAsia="Calibri" w:hAnsiTheme="majorHAnsi"/>
          <w:sz w:val="24"/>
          <w:szCs w:val="24"/>
        </w:rPr>
        <w:t>wf</w:t>
      </w:r>
      <w:r w:rsidRPr="00047367">
        <w:rPr>
          <w:rFonts w:asciiTheme="majorHAnsi" w:eastAsia="Calibri" w:hAnsiTheme="majorHAnsi"/>
          <w:sz w:val="24"/>
          <w:szCs w:val="24"/>
        </w:rPr>
        <w:t xml:space="preserve"> 7,599,348,895 and </w:t>
      </w:r>
      <w:r w:rsidR="00DD0D0F">
        <w:rPr>
          <w:rFonts w:asciiTheme="majorHAnsi" w:eastAsia="Calibri" w:hAnsiTheme="majorHAnsi"/>
          <w:sz w:val="24"/>
          <w:szCs w:val="24"/>
        </w:rPr>
        <w:t xml:space="preserve">(ii) </w:t>
      </w:r>
      <w:r w:rsidR="00C972D0">
        <w:rPr>
          <w:rFonts w:asciiTheme="majorHAnsi" w:eastAsia="Calibri" w:hAnsiTheme="majorHAnsi"/>
          <w:sz w:val="24"/>
          <w:szCs w:val="24"/>
        </w:rPr>
        <w:t xml:space="preserve">External funding = </w:t>
      </w:r>
      <w:r w:rsidR="00DD0D0F">
        <w:rPr>
          <w:rFonts w:asciiTheme="majorHAnsi" w:eastAsia="Calibri" w:hAnsiTheme="majorHAnsi"/>
          <w:sz w:val="24"/>
          <w:szCs w:val="24"/>
        </w:rPr>
        <w:t>R</w:t>
      </w:r>
      <w:r w:rsidR="00C972D0">
        <w:rPr>
          <w:rFonts w:asciiTheme="majorHAnsi" w:eastAsia="Calibri" w:hAnsiTheme="majorHAnsi"/>
          <w:sz w:val="24"/>
          <w:szCs w:val="24"/>
        </w:rPr>
        <w:t>wf</w:t>
      </w:r>
      <w:r w:rsidR="00DD0D0F">
        <w:rPr>
          <w:rFonts w:asciiTheme="majorHAnsi" w:eastAsia="Calibri" w:hAnsiTheme="majorHAnsi"/>
          <w:sz w:val="24"/>
          <w:szCs w:val="24"/>
        </w:rPr>
        <w:t xml:space="preserve"> </w:t>
      </w:r>
      <w:r w:rsidRPr="00047367">
        <w:rPr>
          <w:rFonts w:asciiTheme="majorHAnsi" w:eastAsia="Calibri" w:hAnsiTheme="majorHAnsi"/>
          <w:sz w:val="24"/>
          <w:szCs w:val="24"/>
        </w:rPr>
        <w:t>14,900,658,000</w:t>
      </w:r>
      <w:r w:rsidR="00DD0D0F">
        <w:rPr>
          <w:rFonts w:asciiTheme="majorHAnsi" w:eastAsia="Calibri" w:hAnsiTheme="majorHAnsi"/>
          <w:sz w:val="24"/>
          <w:szCs w:val="24"/>
        </w:rPr>
        <w:t xml:space="preserve">. This makes the total allocation for </w:t>
      </w:r>
      <w:r w:rsidR="00C972D0">
        <w:rPr>
          <w:rFonts w:asciiTheme="majorHAnsi" w:eastAsia="Calibri" w:hAnsiTheme="majorHAnsi"/>
          <w:sz w:val="24"/>
          <w:szCs w:val="24"/>
        </w:rPr>
        <w:t>the fiscal year</w:t>
      </w:r>
      <w:r w:rsidR="00DD0D0F">
        <w:rPr>
          <w:rFonts w:asciiTheme="majorHAnsi" w:eastAsia="Calibri" w:hAnsiTheme="majorHAnsi"/>
          <w:sz w:val="24"/>
          <w:szCs w:val="24"/>
        </w:rPr>
        <w:t xml:space="preserve"> R</w:t>
      </w:r>
      <w:r w:rsidR="00C972D0">
        <w:rPr>
          <w:rFonts w:asciiTheme="majorHAnsi" w:eastAsia="Calibri" w:hAnsiTheme="majorHAnsi"/>
          <w:sz w:val="24"/>
          <w:szCs w:val="24"/>
        </w:rPr>
        <w:t>wf</w:t>
      </w:r>
      <w:r w:rsidR="00DD0D0F">
        <w:rPr>
          <w:rFonts w:asciiTheme="majorHAnsi" w:eastAsia="Calibri" w:hAnsiTheme="majorHAnsi"/>
          <w:sz w:val="24"/>
          <w:szCs w:val="24"/>
        </w:rPr>
        <w:t xml:space="preserve"> </w:t>
      </w:r>
      <w:r w:rsidRPr="00047367">
        <w:rPr>
          <w:rFonts w:asciiTheme="majorHAnsi" w:eastAsia="Calibri" w:hAnsiTheme="majorHAnsi"/>
          <w:sz w:val="24"/>
          <w:szCs w:val="24"/>
        </w:rPr>
        <w:t>22,500,006,895.</w:t>
      </w:r>
    </w:p>
    <w:p w14:paraId="65A03C23" w14:textId="77777777" w:rsidR="00DD0D0F" w:rsidRPr="00047367" w:rsidRDefault="00DD0D0F" w:rsidP="00525D17">
      <w:pPr>
        <w:pStyle w:val="ListParagraph"/>
        <w:jc w:val="both"/>
        <w:rPr>
          <w:rFonts w:asciiTheme="majorHAnsi" w:eastAsia="Calibri" w:hAnsiTheme="majorHAnsi"/>
          <w:sz w:val="24"/>
          <w:szCs w:val="24"/>
        </w:rPr>
      </w:pPr>
    </w:p>
    <w:p w14:paraId="07D6DF93" w14:textId="3ED0EAA6" w:rsidR="007B1693" w:rsidRPr="00047367" w:rsidRDefault="00DD0D0F" w:rsidP="00525D17">
      <w:pPr>
        <w:pStyle w:val="ListParagraph"/>
        <w:jc w:val="both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 xml:space="preserve">Of </w:t>
      </w:r>
      <w:r w:rsidR="00946E01" w:rsidRPr="00047367">
        <w:rPr>
          <w:rFonts w:asciiTheme="majorHAnsi" w:eastAsia="Calibri" w:hAnsiTheme="majorHAnsi"/>
          <w:sz w:val="24"/>
          <w:szCs w:val="24"/>
        </w:rPr>
        <w:t xml:space="preserve">the total </w:t>
      </w:r>
      <w:r>
        <w:rPr>
          <w:rFonts w:asciiTheme="majorHAnsi" w:eastAsia="Calibri" w:hAnsiTheme="majorHAnsi"/>
          <w:sz w:val="24"/>
          <w:szCs w:val="24"/>
        </w:rPr>
        <w:t>budgeted allocat</w:t>
      </w:r>
      <w:r w:rsidR="00C972D0">
        <w:rPr>
          <w:rFonts w:asciiTheme="majorHAnsi" w:eastAsia="Calibri" w:hAnsiTheme="majorHAnsi"/>
          <w:sz w:val="24"/>
          <w:szCs w:val="24"/>
        </w:rPr>
        <w:t>ion</w:t>
      </w:r>
      <w:r w:rsidR="00946E01" w:rsidRPr="00047367">
        <w:rPr>
          <w:rFonts w:asciiTheme="majorHAnsi" w:eastAsia="Calibri" w:hAnsiTheme="majorHAnsi"/>
          <w:sz w:val="24"/>
          <w:szCs w:val="24"/>
        </w:rPr>
        <w:t xml:space="preserve"> (external</w:t>
      </w:r>
      <w:r w:rsidR="00475893" w:rsidRPr="00047367">
        <w:rPr>
          <w:rFonts w:asciiTheme="majorHAnsi" w:eastAsia="Calibri" w:hAnsiTheme="majorHAnsi"/>
          <w:sz w:val="24"/>
          <w:szCs w:val="24"/>
        </w:rPr>
        <w:t xml:space="preserve"> </w:t>
      </w:r>
      <w:r w:rsidR="00946E01" w:rsidRPr="00047367">
        <w:rPr>
          <w:rFonts w:asciiTheme="majorHAnsi" w:eastAsia="Calibri" w:hAnsiTheme="majorHAnsi"/>
          <w:sz w:val="24"/>
          <w:szCs w:val="24"/>
        </w:rPr>
        <w:t>+</w:t>
      </w:r>
      <w:r w:rsidR="00475893" w:rsidRPr="00047367">
        <w:rPr>
          <w:rFonts w:asciiTheme="majorHAnsi" w:eastAsia="Calibri" w:hAnsiTheme="majorHAnsi"/>
          <w:sz w:val="24"/>
          <w:szCs w:val="24"/>
        </w:rPr>
        <w:t xml:space="preserve"> </w:t>
      </w:r>
      <w:r w:rsidR="00946E01" w:rsidRPr="00047367">
        <w:rPr>
          <w:rFonts w:asciiTheme="majorHAnsi" w:eastAsia="Calibri" w:hAnsiTheme="majorHAnsi"/>
          <w:sz w:val="24"/>
          <w:szCs w:val="24"/>
        </w:rPr>
        <w:t xml:space="preserve">domestic) </w:t>
      </w:r>
      <w:r>
        <w:rPr>
          <w:rFonts w:asciiTheme="majorHAnsi" w:eastAsia="Calibri" w:hAnsiTheme="majorHAnsi"/>
          <w:sz w:val="24"/>
          <w:szCs w:val="24"/>
        </w:rPr>
        <w:t xml:space="preserve">of </w:t>
      </w:r>
      <w:r w:rsidR="00C972D0">
        <w:rPr>
          <w:rFonts w:asciiTheme="majorHAnsi" w:eastAsia="Calibri" w:hAnsiTheme="majorHAnsi"/>
          <w:sz w:val="24"/>
          <w:szCs w:val="24"/>
        </w:rPr>
        <w:t xml:space="preserve">Rwf </w:t>
      </w:r>
      <w:r w:rsidR="00C972D0" w:rsidRPr="00047367">
        <w:rPr>
          <w:rFonts w:asciiTheme="majorHAnsi" w:eastAsia="Calibri" w:hAnsiTheme="majorHAnsi"/>
          <w:sz w:val="24"/>
          <w:szCs w:val="24"/>
        </w:rPr>
        <w:t>22,500,006,895</w:t>
      </w:r>
      <w:r w:rsidR="00C972D0">
        <w:rPr>
          <w:rFonts w:asciiTheme="majorHAnsi" w:eastAsia="Calibri" w:hAnsiTheme="majorHAnsi"/>
          <w:sz w:val="24"/>
          <w:szCs w:val="24"/>
        </w:rPr>
        <w:t xml:space="preserve">, an amount of </w:t>
      </w:r>
      <w:r w:rsidR="00C972D0" w:rsidRPr="00047367">
        <w:rPr>
          <w:rFonts w:asciiTheme="majorHAnsi" w:eastAsia="Calibri" w:hAnsiTheme="majorHAnsi"/>
          <w:sz w:val="24"/>
          <w:szCs w:val="24"/>
        </w:rPr>
        <w:t xml:space="preserve">Rwf </w:t>
      </w:r>
      <w:r w:rsidR="00946E01" w:rsidRPr="00047367">
        <w:rPr>
          <w:rFonts w:asciiTheme="majorHAnsi" w:eastAsia="Calibri" w:hAnsiTheme="majorHAnsi"/>
          <w:sz w:val="24"/>
          <w:szCs w:val="24"/>
        </w:rPr>
        <w:t>14,757,093,363</w:t>
      </w:r>
      <w:r w:rsidR="00C972D0">
        <w:rPr>
          <w:rFonts w:asciiTheme="majorHAnsi" w:eastAsia="Calibri" w:hAnsiTheme="majorHAnsi"/>
          <w:sz w:val="24"/>
          <w:szCs w:val="24"/>
        </w:rPr>
        <w:t>, i.e. 65.58 %, was</w:t>
      </w:r>
      <w:r w:rsidR="00946E01" w:rsidRPr="00047367">
        <w:rPr>
          <w:rFonts w:asciiTheme="majorHAnsi" w:eastAsia="Calibri" w:hAnsiTheme="majorHAnsi"/>
          <w:sz w:val="24"/>
          <w:szCs w:val="24"/>
        </w:rPr>
        <w:t xml:space="preserve"> disbursed</w:t>
      </w:r>
      <w:r w:rsidR="00C972D0">
        <w:rPr>
          <w:rFonts w:asciiTheme="majorHAnsi" w:eastAsia="Calibri" w:hAnsiTheme="majorHAnsi"/>
          <w:sz w:val="24"/>
          <w:szCs w:val="24"/>
        </w:rPr>
        <w:t xml:space="preserve">. </w:t>
      </w:r>
      <w:r w:rsidR="00946E01" w:rsidRPr="00047367">
        <w:rPr>
          <w:rFonts w:asciiTheme="majorHAnsi" w:eastAsia="Calibri" w:hAnsiTheme="majorHAnsi"/>
          <w:sz w:val="24"/>
          <w:szCs w:val="24"/>
        </w:rPr>
        <w:t xml:space="preserve"> </w:t>
      </w:r>
      <w:r w:rsidR="00C972D0">
        <w:rPr>
          <w:rFonts w:asciiTheme="majorHAnsi" w:eastAsia="Calibri" w:hAnsiTheme="majorHAnsi"/>
          <w:sz w:val="24"/>
          <w:szCs w:val="24"/>
        </w:rPr>
        <w:t>For the</w:t>
      </w:r>
      <w:r w:rsidR="00525D17" w:rsidRPr="00047367">
        <w:rPr>
          <w:rFonts w:asciiTheme="majorHAnsi" w:eastAsia="Calibri" w:hAnsiTheme="majorHAnsi"/>
          <w:sz w:val="24"/>
          <w:szCs w:val="24"/>
        </w:rPr>
        <w:t xml:space="preserve"> domestic </w:t>
      </w:r>
      <w:r w:rsidR="00C972D0">
        <w:rPr>
          <w:rFonts w:asciiTheme="majorHAnsi" w:eastAsia="Calibri" w:hAnsiTheme="majorHAnsi"/>
          <w:sz w:val="24"/>
          <w:szCs w:val="24"/>
        </w:rPr>
        <w:t xml:space="preserve">funding, Rwf </w:t>
      </w:r>
      <w:r w:rsidR="00525D17" w:rsidRPr="00047367">
        <w:rPr>
          <w:rFonts w:asciiTheme="majorHAnsi" w:eastAsia="Calibri" w:hAnsiTheme="majorHAnsi"/>
          <w:sz w:val="24"/>
          <w:szCs w:val="24"/>
        </w:rPr>
        <w:t xml:space="preserve">5,860,987,671 </w:t>
      </w:r>
      <w:r w:rsidR="00C972D0">
        <w:rPr>
          <w:rFonts w:asciiTheme="majorHAnsi" w:eastAsia="Calibri" w:hAnsiTheme="majorHAnsi"/>
          <w:sz w:val="24"/>
          <w:szCs w:val="24"/>
        </w:rPr>
        <w:t>(84.3%)</w:t>
      </w:r>
      <w:r w:rsidR="00C972D0" w:rsidRPr="00047367">
        <w:rPr>
          <w:rFonts w:asciiTheme="majorHAnsi" w:eastAsia="Calibri" w:hAnsiTheme="majorHAnsi"/>
          <w:sz w:val="24"/>
          <w:szCs w:val="24"/>
        </w:rPr>
        <w:t xml:space="preserve"> </w:t>
      </w:r>
      <w:r w:rsidR="00525D17" w:rsidRPr="00047367">
        <w:rPr>
          <w:rFonts w:asciiTheme="majorHAnsi" w:eastAsia="Calibri" w:hAnsiTheme="majorHAnsi"/>
          <w:sz w:val="24"/>
          <w:szCs w:val="24"/>
        </w:rPr>
        <w:t>were disbursed</w:t>
      </w:r>
      <w:r w:rsidR="00C972D0">
        <w:rPr>
          <w:rFonts w:asciiTheme="majorHAnsi" w:eastAsia="Calibri" w:hAnsiTheme="majorHAnsi"/>
          <w:sz w:val="24"/>
          <w:szCs w:val="24"/>
        </w:rPr>
        <w:t xml:space="preserve"> while Rwf </w:t>
      </w:r>
      <w:r w:rsidR="00525D17" w:rsidRPr="00047367">
        <w:rPr>
          <w:rFonts w:asciiTheme="majorHAnsi" w:eastAsia="Calibri" w:hAnsiTheme="majorHAnsi"/>
          <w:sz w:val="24"/>
          <w:szCs w:val="24"/>
        </w:rPr>
        <w:t>8,896,195,692</w:t>
      </w:r>
      <w:r w:rsidR="00C972D0">
        <w:rPr>
          <w:rFonts w:asciiTheme="majorHAnsi" w:eastAsia="Calibri" w:hAnsiTheme="majorHAnsi"/>
          <w:sz w:val="24"/>
          <w:szCs w:val="24"/>
        </w:rPr>
        <w:t xml:space="preserve">, </w:t>
      </w:r>
      <w:r w:rsidR="00525D17" w:rsidRPr="00047367">
        <w:rPr>
          <w:rFonts w:asciiTheme="majorHAnsi" w:eastAsia="Calibri" w:hAnsiTheme="majorHAnsi"/>
          <w:sz w:val="24"/>
          <w:szCs w:val="24"/>
        </w:rPr>
        <w:t>representing 60%</w:t>
      </w:r>
      <w:r w:rsidR="00C972D0">
        <w:rPr>
          <w:rFonts w:asciiTheme="majorHAnsi" w:eastAsia="Calibri" w:hAnsiTheme="majorHAnsi"/>
          <w:sz w:val="24"/>
          <w:szCs w:val="24"/>
        </w:rPr>
        <w:t>, were disbursed against the allocation for external financing</w:t>
      </w:r>
      <w:r w:rsidR="00525D17" w:rsidRPr="00047367">
        <w:rPr>
          <w:rFonts w:asciiTheme="majorHAnsi" w:eastAsia="Calibri" w:hAnsiTheme="majorHAnsi"/>
          <w:sz w:val="24"/>
          <w:szCs w:val="24"/>
        </w:rPr>
        <w:t>.</w:t>
      </w:r>
      <w:r w:rsidR="00C972D0">
        <w:rPr>
          <w:rFonts w:asciiTheme="majorHAnsi" w:eastAsia="Calibri" w:hAnsiTheme="majorHAnsi"/>
          <w:sz w:val="24"/>
          <w:szCs w:val="24"/>
        </w:rPr>
        <w:t xml:space="preserve">  </w:t>
      </w:r>
      <w:r w:rsidR="007B1693">
        <w:rPr>
          <w:rFonts w:asciiTheme="majorHAnsi" w:eastAsia="Calibri" w:hAnsiTheme="majorHAnsi"/>
          <w:sz w:val="24"/>
          <w:szCs w:val="24"/>
        </w:rPr>
        <w:t>A detailed budget execution report is annexed to this report.</w:t>
      </w:r>
    </w:p>
    <w:p w14:paraId="594BB928" w14:textId="77777777" w:rsidR="009C343A" w:rsidRPr="00047367" w:rsidRDefault="009C343A" w:rsidP="00525D17">
      <w:pPr>
        <w:pStyle w:val="ListParagraph"/>
        <w:jc w:val="both"/>
        <w:rPr>
          <w:rFonts w:asciiTheme="majorHAnsi" w:eastAsia="Calibri" w:hAnsiTheme="majorHAnsi"/>
          <w:b/>
          <w:color w:val="000000"/>
          <w:sz w:val="24"/>
          <w:szCs w:val="24"/>
        </w:rPr>
      </w:pPr>
    </w:p>
    <w:p w14:paraId="490B28EF" w14:textId="77777777" w:rsidR="001A3172" w:rsidRPr="00047367" w:rsidRDefault="003302B3" w:rsidP="00525D17">
      <w:pPr>
        <w:pStyle w:val="ListParagraph"/>
        <w:numPr>
          <w:ilvl w:val="0"/>
          <w:numId w:val="7"/>
        </w:numPr>
        <w:jc w:val="both"/>
        <w:rPr>
          <w:rFonts w:asciiTheme="majorHAnsi" w:eastAsia="Calibri" w:hAnsiTheme="majorHAnsi"/>
          <w:b/>
          <w:color w:val="0070C0"/>
          <w:sz w:val="24"/>
          <w:szCs w:val="24"/>
        </w:rPr>
      </w:pPr>
      <w:r w:rsidRPr="00047367">
        <w:rPr>
          <w:rFonts w:asciiTheme="majorHAnsi" w:eastAsia="Calibri" w:hAnsiTheme="majorHAnsi"/>
          <w:b/>
          <w:color w:val="0070C0"/>
          <w:sz w:val="24"/>
          <w:szCs w:val="24"/>
        </w:rPr>
        <w:t xml:space="preserve">Recommendations of the </w:t>
      </w:r>
      <w:r w:rsidR="004918F7">
        <w:rPr>
          <w:rFonts w:asciiTheme="majorHAnsi" w:hAnsiTheme="majorHAnsi" w:hint="eastAsia"/>
          <w:b/>
          <w:color w:val="0070C0"/>
          <w:sz w:val="24"/>
          <w:szCs w:val="24"/>
          <w:lang w:eastAsia="ja-JP"/>
        </w:rPr>
        <w:t>previous</w:t>
      </w:r>
      <w:r w:rsidRPr="00047367">
        <w:rPr>
          <w:rFonts w:asciiTheme="majorHAnsi" w:eastAsia="Calibri" w:hAnsiTheme="majorHAnsi"/>
          <w:b/>
          <w:color w:val="0070C0"/>
          <w:sz w:val="24"/>
          <w:szCs w:val="24"/>
        </w:rPr>
        <w:t xml:space="preserve"> JSR</w:t>
      </w:r>
    </w:p>
    <w:p w14:paraId="4C2E3B94" w14:textId="77777777" w:rsidR="009C343A" w:rsidRPr="00047367" w:rsidRDefault="009C343A" w:rsidP="00525D17">
      <w:pPr>
        <w:pStyle w:val="ListParagraph"/>
        <w:jc w:val="both"/>
        <w:rPr>
          <w:rFonts w:asciiTheme="majorHAnsi" w:eastAsia="Calibri" w:hAnsiTheme="majorHAnsi"/>
          <w:b/>
          <w:color w:val="0070C0"/>
          <w:sz w:val="24"/>
          <w:szCs w:val="24"/>
        </w:rPr>
      </w:pPr>
    </w:p>
    <w:p w14:paraId="24B0860B" w14:textId="00E9B60A" w:rsidR="00475893" w:rsidRPr="00047367" w:rsidRDefault="002A7190" w:rsidP="00F6394B">
      <w:pPr>
        <w:pStyle w:val="ListParagraph"/>
        <w:numPr>
          <w:ilvl w:val="0"/>
          <w:numId w:val="12"/>
        </w:numPr>
        <w:ind w:left="900"/>
        <w:jc w:val="both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 xml:space="preserve">Within the </w:t>
      </w:r>
      <w:r w:rsidR="00525D17" w:rsidRPr="00047367">
        <w:rPr>
          <w:rFonts w:asciiTheme="majorHAnsi" w:eastAsia="Calibri" w:hAnsiTheme="majorHAnsi"/>
          <w:sz w:val="24"/>
          <w:szCs w:val="24"/>
        </w:rPr>
        <w:t xml:space="preserve">framework of strengthening and improving </w:t>
      </w:r>
      <w:r w:rsidR="00475893" w:rsidRPr="00047367">
        <w:rPr>
          <w:rFonts w:asciiTheme="majorHAnsi" w:eastAsia="Calibri" w:hAnsiTheme="majorHAnsi"/>
          <w:sz w:val="24"/>
          <w:szCs w:val="24"/>
        </w:rPr>
        <w:t xml:space="preserve">the Sector Coordination, the </w:t>
      </w:r>
      <w:r w:rsidR="004918F7">
        <w:rPr>
          <w:rFonts w:asciiTheme="majorHAnsi" w:hAnsiTheme="majorHAnsi" w:hint="eastAsia"/>
          <w:sz w:val="24"/>
          <w:szCs w:val="24"/>
          <w:lang w:eastAsia="ja-JP"/>
        </w:rPr>
        <w:t>previous</w:t>
      </w:r>
      <w:r w:rsidR="004918F7" w:rsidRPr="00047367">
        <w:rPr>
          <w:rFonts w:asciiTheme="majorHAnsi" w:eastAsia="Calibri" w:hAnsiTheme="majorHAnsi"/>
          <w:sz w:val="24"/>
          <w:szCs w:val="24"/>
        </w:rPr>
        <w:t xml:space="preserve"> </w:t>
      </w:r>
      <w:r w:rsidR="00475893" w:rsidRPr="00047367">
        <w:rPr>
          <w:rFonts w:asciiTheme="majorHAnsi" w:eastAsia="Calibri" w:hAnsiTheme="majorHAnsi"/>
          <w:sz w:val="24"/>
          <w:szCs w:val="24"/>
        </w:rPr>
        <w:t>JSR recommended the recruitment of the Coordinator of the WATSAN Sector Working group Secretariat</w:t>
      </w:r>
      <w:r>
        <w:rPr>
          <w:rFonts w:asciiTheme="majorHAnsi" w:eastAsia="Calibri" w:hAnsiTheme="majorHAnsi"/>
          <w:sz w:val="24"/>
          <w:szCs w:val="24"/>
        </w:rPr>
        <w:t>. T</w:t>
      </w:r>
      <w:r w:rsidR="00475893" w:rsidRPr="00047367">
        <w:rPr>
          <w:rFonts w:asciiTheme="majorHAnsi" w:eastAsia="Calibri" w:hAnsiTheme="majorHAnsi"/>
          <w:sz w:val="24"/>
          <w:szCs w:val="24"/>
        </w:rPr>
        <w:t xml:space="preserve">he Coordinator </w:t>
      </w:r>
      <w:r>
        <w:rPr>
          <w:rFonts w:asciiTheme="majorHAnsi" w:eastAsia="Calibri" w:hAnsiTheme="majorHAnsi"/>
          <w:sz w:val="24"/>
          <w:szCs w:val="24"/>
        </w:rPr>
        <w:t>was</w:t>
      </w:r>
      <w:r w:rsidR="00475893" w:rsidRPr="00047367">
        <w:rPr>
          <w:rFonts w:asciiTheme="majorHAnsi" w:eastAsia="Calibri" w:hAnsiTheme="majorHAnsi"/>
          <w:sz w:val="24"/>
          <w:szCs w:val="24"/>
        </w:rPr>
        <w:t xml:space="preserve"> recruited with the support of JICA and started his duties</w:t>
      </w:r>
      <w:r>
        <w:rPr>
          <w:rFonts w:asciiTheme="majorHAnsi" w:eastAsia="Calibri" w:hAnsiTheme="majorHAnsi"/>
          <w:sz w:val="24"/>
          <w:szCs w:val="24"/>
        </w:rPr>
        <w:t xml:space="preserve"> in September 2014</w:t>
      </w:r>
      <w:r w:rsidR="00CF432F">
        <w:rPr>
          <w:rFonts w:asciiTheme="majorHAnsi" w:hAnsiTheme="majorHAnsi" w:hint="eastAsia"/>
          <w:sz w:val="24"/>
          <w:szCs w:val="24"/>
          <w:lang w:eastAsia="ja-JP"/>
        </w:rPr>
        <w:t>.</w:t>
      </w:r>
    </w:p>
    <w:p w14:paraId="23130F57" w14:textId="7A864114" w:rsidR="00525D17" w:rsidRPr="00047367" w:rsidRDefault="00475893" w:rsidP="00F6394B">
      <w:pPr>
        <w:pStyle w:val="ListParagraph"/>
        <w:numPr>
          <w:ilvl w:val="0"/>
          <w:numId w:val="12"/>
        </w:numPr>
        <w:ind w:left="900"/>
        <w:jc w:val="both"/>
        <w:rPr>
          <w:rFonts w:asciiTheme="majorHAnsi" w:eastAsia="Calibri" w:hAnsiTheme="majorHAnsi"/>
          <w:sz w:val="24"/>
          <w:szCs w:val="24"/>
        </w:rPr>
      </w:pPr>
      <w:r w:rsidRPr="00047367">
        <w:rPr>
          <w:rFonts w:asciiTheme="majorHAnsi" w:eastAsia="Calibri" w:hAnsiTheme="majorHAnsi"/>
          <w:sz w:val="24"/>
          <w:szCs w:val="24"/>
        </w:rPr>
        <w:t>Another recommendations was the involvement of private sector within the sector</w:t>
      </w:r>
      <w:r w:rsidR="002A7190">
        <w:rPr>
          <w:rFonts w:asciiTheme="majorHAnsi" w:eastAsia="Calibri" w:hAnsiTheme="majorHAnsi"/>
          <w:sz w:val="24"/>
          <w:szCs w:val="24"/>
        </w:rPr>
        <w:t xml:space="preserve">. In this context, </w:t>
      </w:r>
      <w:r w:rsidRPr="00047367">
        <w:rPr>
          <w:rFonts w:asciiTheme="majorHAnsi" w:eastAsia="Calibri" w:hAnsiTheme="majorHAnsi"/>
          <w:sz w:val="24"/>
          <w:szCs w:val="24"/>
        </w:rPr>
        <w:t xml:space="preserve">two major projects have </w:t>
      </w:r>
      <w:r w:rsidR="002A7190">
        <w:rPr>
          <w:rFonts w:asciiTheme="majorHAnsi" w:eastAsia="Calibri" w:hAnsiTheme="majorHAnsi"/>
          <w:sz w:val="24"/>
          <w:szCs w:val="24"/>
        </w:rPr>
        <w:t xml:space="preserve">been </w:t>
      </w:r>
      <w:r w:rsidRPr="00047367">
        <w:rPr>
          <w:rFonts w:asciiTheme="majorHAnsi" w:eastAsia="Calibri" w:hAnsiTheme="majorHAnsi"/>
          <w:sz w:val="24"/>
          <w:szCs w:val="24"/>
        </w:rPr>
        <w:t>identified to interest potential investor</w:t>
      </w:r>
      <w:r w:rsidR="002A7190">
        <w:rPr>
          <w:rFonts w:asciiTheme="majorHAnsi" w:eastAsia="Calibri" w:hAnsiTheme="majorHAnsi"/>
          <w:sz w:val="24"/>
          <w:szCs w:val="24"/>
        </w:rPr>
        <w:t xml:space="preserve">s. These include </w:t>
      </w:r>
      <w:r w:rsidRPr="00047367">
        <w:rPr>
          <w:rFonts w:asciiTheme="majorHAnsi" w:eastAsia="Calibri" w:hAnsiTheme="majorHAnsi"/>
          <w:sz w:val="24"/>
          <w:szCs w:val="24"/>
        </w:rPr>
        <w:t xml:space="preserve">Kigali Bulk Water (Kanzenze) and Mutobo </w:t>
      </w:r>
      <w:r w:rsidR="002A7190">
        <w:rPr>
          <w:rFonts w:asciiTheme="majorHAnsi" w:eastAsia="Calibri" w:hAnsiTheme="majorHAnsi"/>
          <w:sz w:val="24"/>
          <w:szCs w:val="24"/>
        </w:rPr>
        <w:t>p</w:t>
      </w:r>
      <w:r w:rsidRPr="00047367">
        <w:rPr>
          <w:rFonts w:asciiTheme="majorHAnsi" w:eastAsia="Calibri" w:hAnsiTheme="majorHAnsi"/>
          <w:sz w:val="24"/>
          <w:szCs w:val="24"/>
        </w:rPr>
        <w:t>roject</w:t>
      </w:r>
      <w:r w:rsidR="002A7190">
        <w:rPr>
          <w:rFonts w:asciiTheme="majorHAnsi" w:eastAsia="Calibri" w:hAnsiTheme="majorHAnsi"/>
          <w:sz w:val="24"/>
          <w:szCs w:val="24"/>
        </w:rPr>
        <w:t>s. F</w:t>
      </w:r>
      <w:r w:rsidRPr="00047367">
        <w:rPr>
          <w:rFonts w:asciiTheme="majorHAnsi" w:eastAsia="Calibri" w:hAnsiTheme="majorHAnsi"/>
          <w:sz w:val="24"/>
          <w:szCs w:val="24"/>
        </w:rPr>
        <w:t>or Kigali Bulk Water (Kanzenze Project)</w:t>
      </w:r>
      <w:r w:rsidR="002A7190">
        <w:rPr>
          <w:rFonts w:asciiTheme="majorHAnsi" w:eastAsia="Calibri" w:hAnsiTheme="majorHAnsi"/>
          <w:sz w:val="24"/>
          <w:szCs w:val="24"/>
        </w:rPr>
        <w:t>,</w:t>
      </w:r>
      <w:r w:rsidRPr="00047367">
        <w:rPr>
          <w:rFonts w:asciiTheme="majorHAnsi" w:eastAsia="Calibri" w:hAnsiTheme="majorHAnsi"/>
          <w:sz w:val="24"/>
          <w:szCs w:val="24"/>
        </w:rPr>
        <w:t xml:space="preserve"> </w:t>
      </w:r>
      <w:r w:rsidR="002A7190">
        <w:rPr>
          <w:rFonts w:asciiTheme="majorHAnsi" w:eastAsia="Calibri" w:hAnsiTheme="majorHAnsi"/>
          <w:sz w:val="24"/>
          <w:szCs w:val="24"/>
        </w:rPr>
        <w:t>t</w:t>
      </w:r>
      <w:r w:rsidRPr="00047367">
        <w:rPr>
          <w:rFonts w:asciiTheme="majorHAnsi" w:eastAsia="Calibri" w:hAnsiTheme="majorHAnsi"/>
          <w:sz w:val="24"/>
          <w:szCs w:val="24"/>
        </w:rPr>
        <w:t xml:space="preserve">echnical and </w:t>
      </w:r>
      <w:r w:rsidR="002A7190">
        <w:rPr>
          <w:rFonts w:asciiTheme="majorHAnsi" w:eastAsia="Calibri" w:hAnsiTheme="majorHAnsi"/>
          <w:sz w:val="24"/>
          <w:szCs w:val="24"/>
        </w:rPr>
        <w:t>f</w:t>
      </w:r>
      <w:r w:rsidRPr="00047367">
        <w:rPr>
          <w:rFonts w:asciiTheme="majorHAnsi" w:eastAsia="Calibri" w:hAnsiTheme="majorHAnsi"/>
          <w:sz w:val="24"/>
          <w:szCs w:val="24"/>
        </w:rPr>
        <w:t xml:space="preserve">inancial </w:t>
      </w:r>
      <w:r w:rsidR="002A7190">
        <w:rPr>
          <w:rFonts w:asciiTheme="majorHAnsi" w:eastAsia="Calibri" w:hAnsiTheme="majorHAnsi"/>
          <w:sz w:val="24"/>
          <w:szCs w:val="24"/>
        </w:rPr>
        <w:t>e</w:t>
      </w:r>
      <w:r w:rsidR="00F6394B">
        <w:rPr>
          <w:rFonts w:asciiTheme="majorHAnsi" w:eastAsia="Calibri" w:hAnsiTheme="majorHAnsi"/>
          <w:sz w:val="24"/>
          <w:szCs w:val="24"/>
        </w:rPr>
        <w:t>valuation ha</w:t>
      </w:r>
      <w:r w:rsidR="00F6394B">
        <w:rPr>
          <w:rFonts w:asciiTheme="majorHAnsi" w:hAnsiTheme="majorHAnsi" w:hint="eastAsia"/>
          <w:sz w:val="24"/>
          <w:szCs w:val="24"/>
          <w:lang w:eastAsia="ja-JP"/>
        </w:rPr>
        <w:t>s</w:t>
      </w:r>
      <w:r w:rsidRPr="00047367">
        <w:rPr>
          <w:rFonts w:asciiTheme="majorHAnsi" w:eastAsia="Calibri" w:hAnsiTheme="majorHAnsi"/>
          <w:sz w:val="24"/>
          <w:szCs w:val="24"/>
        </w:rPr>
        <w:t xml:space="preserve"> been completed to select the potential investor who will invest his </w:t>
      </w:r>
      <w:r w:rsidR="002A7190">
        <w:rPr>
          <w:rFonts w:asciiTheme="majorHAnsi" w:eastAsia="Calibri" w:hAnsiTheme="majorHAnsi"/>
          <w:sz w:val="24"/>
          <w:szCs w:val="24"/>
        </w:rPr>
        <w:t>resources</w:t>
      </w:r>
      <w:r w:rsidR="002A7190" w:rsidRPr="00047367">
        <w:rPr>
          <w:rFonts w:asciiTheme="majorHAnsi" w:eastAsia="Calibri" w:hAnsiTheme="majorHAnsi"/>
          <w:sz w:val="24"/>
          <w:szCs w:val="24"/>
        </w:rPr>
        <w:t xml:space="preserve"> </w:t>
      </w:r>
      <w:r w:rsidR="002A7190">
        <w:rPr>
          <w:rFonts w:asciiTheme="majorHAnsi" w:eastAsia="Calibri" w:hAnsiTheme="majorHAnsi"/>
          <w:sz w:val="24"/>
          <w:szCs w:val="24"/>
        </w:rPr>
        <w:t xml:space="preserve">to </w:t>
      </w:r>
      <w:r w:rsidRPr="00047367">
        <w:rPr>
          <w:rFonts w:asciiTheme="majorHAnsi" w:eastAsia="Calibri" w:hAnsiTheme="majorHAnsi"/>
          <w:sz w:val="24"/>
          <w:szCs w:val="24"/>
        </w:rPr>
        <w:t>implement the project</w:t>
      </w:r>
      <w:r w:rsidR="002A7190">
        <w:rPr>
          <w:rFonts w:asciiTheme="majorHAnsi" w:eastAsia="Calibri" w:hAnsiTheme="majorHAnsi"/>
          <w:sz w:val="24"/>
          <w:szCs w:val="24"/>
        </w:rPr>
        <w:t>. F</w:t>
      </w:r>
      <w:r w:rsidRPr="00047367">
        <w:rPr>
          <w:rFonts w:asciiTheme="majorHAnsi" w:eastAsia="Calibri" w:hAnsiTheme="majorHAnsi"/>
          <w:sz w:val="24"/>
          <w:szCs w:val="24"/>
        </w:rPr>
        <w:t xml:space="preserve">or Mutobo </w:t>
      </w:r>
      <w:r w:rsidR="002A7190">
        <w:rPr>
          <w:rFonts w:asciiTheme="majorHAnsi" w:eastAsia="Calibri" w:hAnsiTheme="majorHAnsi"/>
          <w:sz w:val="24"/>
          <w:szCs w:val="24"/>
        </w:rPr>
        <w:t xml:space="preserve">project, </w:t>
      </w:r>
      <w:r w:rsidRPr="00047367">
        <w:rPr>
          <w:rFonts w:asciiTheme="majorHAnsi" w:eastAsia="Calibri" w:hAnsiTheme="majorHAnsi"/>
          <w:sz w:val="24"/>
          <w:szCs w:val="24"/>
        </w:rPr>
        <w:t>the Government</w:t>
      </w:r>
      <w:r w:rsidR="002A7190">
        <w:rPr>
          <w:rFonts w:asciiTheme="majorHAnsi" w:eastAsia="Calibri" w:hAnsiTheme="majorHAnsi"/>
          <w:sz w:val="24"/>
          <w:szCs w:val="24"/>
        </w:rPr>
        <w:t>,</w:t>
      </w:r>
      <w:r w:rsidRPr="00047367">
        <w:rPr>
          <w:rFonts w:asciiTheme="majorHAnsi" w:eastAsia="Calibri" w:hAnsiTheme="majorHAnsi"/>
          <w:sz w:val="24"/>
          <w:szCs w:val="24"/>
        </w:rPr>
        <w:t xml:space="preserve"> through the Ministry of Infrastructure and the Water and Sanitation Corporation (WASAC)</w:t>
      </w:r>
      <w:r w:rsidR="002A7190">
        <w:rPr>
          <w:rFonts w:asciiTheme="majorHAnsi" w:eastAsia="Calibri" w:hAnsiTheme="majorHAnsi"/>
          <w:sz w:val="24"/>
          <w:szCs w:val="24"/>
        </w:rPr>
        <w:t>,</w:t>
      </w:r>
      <w:r w:rsidRPr="00047367">
        <w:rPr>
          <w:rFonts w:asciiTheme="majorHAnsi" w:eastAsia="Calibri" w:hAnsiTheme="majorHAnsi"/>
          <w:sz w:val="24"/>
          <w:szCs w:val="24"/>
        </w:rPr>
        <w:t xml:space="preserve"> is in discussion who potential investor who have shown their interest in implementing the project.   </w:t>
      </w:r>
    </w:p>
    <w:p w14:paraId="2D40510D" w14:textId="77777777" w:rsidR="00525D17" w:rsidRPr="00047367" w:rsidRDefault="00525D17" w:rsidP="00525D17">
      <w:pPr>
        <w:pStyle w:val="ListParagraph"/>
        <w:jc w:val="both"/>
        <w:rPr>
          <w:rFonts w:asciiTheme="majorHAnsi" w:eastAsia="Calibri" w:hAnsiTheme="majorHAnsi"/>
          <w:b/>
          <w:color w:val="0070C0"/>
          <w:sz w:val="24"/>
          <w:szCs w:val="24"/>
        </w:rPr>
      </w:pPr>
    </w:p>
    <w:p w14:paraId="17722E66" w14:textId="77777777" w:rsidR="003302B3" w:rsidRPr="00047367" w:rsidRDefault="003302B3" w:rsidP="00525D1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ajorHAnsi" w:eastAsia="Times New Roman" w:hAnsiTheme="majorHAnsi" w:cs="Times New Roman"/>
          <w:b/>
          <w:color w:val="0070C0"/>
          <w:sz w:val="24"/>
          <w:szCs w:val="24"/>
        </w:rPr>
      </w:pPr>
      <w:r w:rsidRPr="00047367">
        <w:rPr>
          <w:rFonts w:asciiTheme="majorHAnsi" w:eastAsia="Calibri" w:hAnsiTheme="majorHAnsi"/>
          <w:b/>
          <w:color w:val="0070C0"/>
          <w:sz w:val="24"/>
          <w:szCs w:val="24"/>
        </w:rPr>
        <w:t>Analytical work</w:t>
      </w:r>
    </w:p>
    <w:p w14:paraId="126ACE42" w14:textId="77777777" w:rsidR="009C343A" w:rsidRPr="00047367" w:rsidRDefault="009C343A" w:rsidP="00525D17">
      <w:pPr>
        <w:pStyle w:val="ListParagraph"/>
        <w:jc w:val="both"/>
        <w:rPr>
          <w:rFonts w:asciiTheme="majorHAnsi" w:eastAsia="Times New Roman" w:hAnsiTheme="majorHAnsi" w:cs="Times New Roman"/>
          <w:b/>
          <w:color w:val="0070C0"/>
          <w:sz w:val="24"/>
          <w:szCs w:val="24"/>
        </w:rPr>
      </w:pPr>
    </w:p>
    <w:p w14:paraId="26776D3B" w14:textId="54455FED" w:rsidR="009C343A" w:rsidRPr="00047367" w:rsidRDefault="00FA5A55" w:rsidP="00525D17">
      <w:pPr>
        <w:pStyle w:val="ListParagraph"/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The</w:t>
      </w:r>
      <w:r w:rsidR="002A7190">
        <w:rPr>
          <w:rFonts w:asciiTheme="majorHAnsi" w:eastAsia="Times New Roman" w:hAnsiTheme="majorHAnsi" w:cs="Times New Roman"/>
          <w:sz w:val="24"/>
          <w:szCs w:val="24"/>
        </w:rPr>
        <w:t xml:space="preserve"> following </w:t>
      </w:r>
      <w:r w:rsidR="00475893" w:rsidRPr="00047367">
        <w:rPr>
          <w:rFonts w:asciiTheme="majorHAnsi" w:eastAsia="Times New Roman" w:hAnsiTheme="majorHAnsi" w:cs="Times New Roman"/>
          <w:sz w:val="24"/>
          <w:szCs w:val="24"/>
        </w:rPr>
        <w:t>studies are being conducted within the WATAN Sector:</w:t>
      </w:r>
    </w:p>
    <w:p w14:paraId="4EA62D33" w14:textId="77777777" w:rsidR="00475893" w:rsidRPr="00047367" w:rsidRDefault="00475893" w:rsidP="00525D17">
      <w:pPr>
        <w:pStyle w:val="ListParagraph"/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5820E347" w14:textId="77777777" w:rsidR="00047367" w:rsidRPr="00047367" w:rsidRDefault="00047367" w:rsidP="0004736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sz w:val="24"/>
          <w:szCs w:val="24"/>
        </w:rPr>
        <w:t xml:space="preserve">Study to harmonize WASH concept and standards </w:t>
      </w:r>
    </w:p>
    <w:p w14:paraId="00BC0E43" w14:textId="77777777" w:rsidR="00047367" w:rsidRPr="00047367" w:rsidRDefault="00047367" w:rsidP="0004736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sz w:val="24"/>
          <w:szCs w:val="24"/>
        </w:rPr>
        <w:t xml:space="preserve">Study to establish guidelines to implement large scale water supply project </w:t>
      </w:r>
    </w:p>
    <w:p w14:paraId="497BD04B" w14:textId="77777777" w:rsidR="00047367" w:rsidRPr="00047367" w:rsidRDefault="00047367" w:rsidP="0004736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color w:val="000000"/>
          <w:sz w:val="24"/>
          <w:szCs w:val="24"/>
        </w:rPr>
        <w:t>Nyabarongo Upstream catchment water supply master plan</w:t>
      </w:r>
    </w:p>
    <w:p w14:paraId="2DF2B0AE" w14:textId="77777777" w:rsidR="00047367" w:rsidRPr="00047367" w:rsidRDefault="00047367" w:rsidP="00047367">
      <w:pPr>
        <w:pStyle w:val="ListParagraph"/>
        <w:numPr>
          <w:ilvl w:val="0"/>
          <w:numId w:val="3"/>
        </w:numPr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hAnsiTheme="majorHAnsi"/>
          <w:sz w:val="24"/>
          <w:szCs w:val="24"/>
        </w:rPr>
        <w:t>Engineering design for the Kigali centralized sewerage system covering Nyarugenge Districts.</w:t>
      </w:r>
    </w:p>
    <w:p w14:paraId="5270C393" w14:textId="77777777" w:rsidR="00047367" w:rsidRPr="00047367" w:rsidRDefault="00047367" w:rsidP="00047367">
      <w:pPr>
        <w:ind w:left="720"/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eastAsia="Calibri" w:hAnsiTheme="majorHAnsi"/>
          <w:color w:val="000000"/>
          <w:sz w:val="24"/>
          <w:szCs w:val="24"/>
        </w:rPr>
        <w:t>There are also some other studies that are in pipelines, those are:</w:t>
      </w:r>
    </w:p>
    <w:p w14:paraId="4B0BB95D" w14:textId="77777777" w:rsidR="00047367" w:rsidRPr="00047367" w:rsidRDefault="00047367" w:rsidP="00047367">
      <w:pPr>
        <w:pStyle w:val="ListParagraph"/>
        <w:numPr>
          <w:ilvl w:val="0"/>
          <w:numId w:val="10"/>
        </w:numPr>
        <w:ind w:left="720" w:hanging="270"/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hAnsiTheme="majorHAnsi"/>
          <w:sz w:val="24"/>
          <w:szCs w:val="24"/>
        </w:rPr>
        <w:lastRenderedPageBreak/>
        <w:t>Engineering design for the centralized sewerage system covering Gasabo and Kicukiro Districts</w:t>
      </w:r>
    </w:p>
    <w:p w14:paraId="1BD31242" w14:textId="77777777" w:rsidR="00047367" w:rsidRPr="007B1693" w:rsidRDefault="00047367" w:rsidP="00047367">
      <w:pPr>
        <w:pStyle w:val="ListParagraph"/>
        <w:numPr>
          <w:ilvl w:val="0"/>
          <w:numId w:val="10"/>
        </w:numPr>
        <w:ind w:left="720" w:hanging="270"/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047367">
        <w:rPr>
          <w:rFonts w:asciiTheme="majorHAnsi" w:hAnsiTheme="majorHAnsi"/>
          <w:sz w:val="24"/>
          <w:szCs w:val="24"/>
        </w:rPr>
        <w:t>Sanitation Master Plan for the Districts of Huye, Muhanga and Rwamagana.</w:t>
      </w:r>
    </w:p>
    <w:p w14:paraId="46F06AB3" w14:textId="77777777" w:rsidR="00F6394B" w:rsidRPr="00F6394B" w:rsidRDefault="007B1693" w:rsidP="00F6394B">
      <w:pPr>
        <w:pStyle w:val="ListParagraph"/>
        <w:numPr>
          <w:ilvl w:val="0"/>
          <w:numId w:val="10"/>
        </w:numPr>
        <w:ind w:left="720" w:hanging="270"/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Updating of the National Policy and Strategy for Water Supply and Sanitation Services.</w:t>
      </w:r>
    </w:p>
    <w:p w14:paraId="69EAF7DA" w14:textId="103A3790" w:rsidR="0025015E" w:rsidRPr="00F6394B" w:rsidRDefault="0025015E" w:rsidP="00F6394B">
      <w:pPr>
        <w:pStyle w:val="ListParagraph"/>
        <w:numPr>
          <w:ilvl w:val="0"/>
          <w:numId w:val="10"/>
        </w:numPr>
        <w:ind w:left="720" w:hanging="270"/>
        <w:jc w:val="both"/>
        <w:rPr>
          <w:rFonts w:asciiTheme="majorHAnsi" w:eastAsia="Calibri" w:hAnsiTheme="majorHAnsi"/>
          <w:color w:val="000000"/>
          <w:sz w:val="24"/>
          <w:szCs w:val="24"/>
        </w:rPr>
      </w:pPr>
      <w:r w:rsidRPr="00F6394B">
        <w:rPr>
          <w:rFonts w:asciiTheme="majorHAnsi" w:eastAsia="Calibri" w:hAnsiTheme="majorHAnsi"/>
          <w:color w:val="000000"/>
          <w:sz w:val="24"/>
          <w:szCs w:val="24"/>
        </w:rPr>
        <w:t xml:space="preserve">Assessment of supply chain for rural sanitation </w:t>
      </w:r>
    </w:p>
    <w:p w14:paraId="7BCF3740" w14:textId="77777777" w:rsidR="00F42229" w:rsidRPr="00F42229" w:rsidRDefault="00F42229" w:rsidP="00F42229">
      <w:pPr>
        <w:pStyle w:val="ListParagraph"/>
        <w:spacing w:line="240" w:lineRule="auto"/>
        <w:jc w:val="both"/>
        <w:rPr>
          <w:rFonts w:asciiTheme="majorHAnsi" w:eastAsia="Times New Roman" w:hAnsiTheme="majorHAnsi" w:cs="Times New Roman"/>
          <w:b/>
          <w:color w:val="0070C0"/>
          <w:sz w:val="24"/>
          <w:szCs w:val="24"/>
        </w:rPr>
      </w:pPr>
    </w:p>
    <w:p w14:paraId="12AF6E36" w14:textId="6B8E7FB9" w:rsidR="00047367" w:rsidRPr="00EA732F" w:rsidRDefault="003302B3" w:rsidP="00EA732F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ajorHAnsi" w:eastAsia="Times New Roman" w:hAnsiTheme="majorHAnsi" w:cs="Times New Roman"/>
          <w:b/>
          <w:color w:val="0070C0"/>
          <w:sz w:val="24"/>
          <w:szCs w:val="24"/>
        </w:rPr>
      </w:pPr>
      <w:r w:rsidRPr="00047367">
        <w:rPr>
          <w:rFonts w:asciiTheme="majorHAnsi" w:eastAsia="Times New Roman" w:hAnsiTheme="majorHAnsi" w:cs="Times New Roman"/>
          <w:b/>
          <w:color w:val="0070C0"/>
          <w:sz w:val="24"/>
          <w:szCs w:val="24"/>
        </w:rPr>
        <w:t>201</w:t>
      </w:r>
      <w:r w:rsidR="00BF0644">
        <w:rPr>
          <w:rFonts w:asciiTheme="majorHAnsi" w:eastAsia="Times New Roman" w:hAnsiTheme="majorHAnsi" w:cs="Times New Roman"/>
          <w:b/>
          <w:color w:val="0070C0"/>
          <w:sz w:val="24"/>
          <w:szCs w:val="24"/>
        </w:rPr>
        <w:t>5</w:t>
      </w:r>
      <w:r w:rsidRPr="00047367">
        <w:rPr>
          <w:rFonts w:asciiTheme="majorHAnsi" w:eastAsia="Times New Roman" w:hAnsiTheme="majorHAnsi" w:cs="Times New Roman"/>
          <w:b/>
          <w:color w:val="0070C0"/>
          <w:sz w:val="24"/>
          <w:szCs w:val="24"/>
        </w:rPr>
        <w:t>/201</w:t>
      </w:r>
      <w:r w:rsidR="00BF0644">
        <w:rPr>
          <w:rFonts w:asciiTheme="majorHAnsi" w:eastAsia="Times New Roman" w:hAnsiTheme="majorHAnsi" w:cs="Times New Roman"/>
          <w:b/>
          <w:color w:val="0070C0"/>
          <w:sz w:val="24"/>
          <w:szCs w:val="24"/>
        </w:rPr>
        <w:t>6</w:t>
      </w:r>
      <w:r w:rsidRPr="00047367">
        <w:rPr>
          <w:rFonts w:asciiTheme="majorHAnsi" w:eastAsia="Times New Roman" w:hAnsiTheme="majorHAnsi" w:cs="Times New Roman"/>
          <w:b/>
          <w:color w:val="0070C0"/>
          <w:sz w:val="24"/>
          <w:szCs w:val="24"/>
        </w:rPr>
        <w:t xml:space="preserve"> Priority areas</w:t>
      </w:r>
    </w:p>
    <w:p w14:paraId="4C936648" w14:textId="4780EDCB" w:rsidR="00BF0644" w:rsidRPr="00EA732F" w:rsidRDefault="00047367" w:rsidP="00EA732F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A732F">
        <w:rPr>
          <w:rFonts w:asciiTheme="majorHAnsi" w:eastAsia="Times New Roman" w:hAnsiTheme="majorHAnsi" w:cs="Times New Roman"/>
          <w:sz w:val="24"/>
          <w:szCs w:val="24"/>
        </w:rPr>
        <w:t xml:space="preserve">For the </w:t>
      </w:r>
      <w:r w:rsidR="0025015E" w:rsidRPr="00EA732F">
        <w:rPr>
          <w:rFonts w:asciiTheme="majorHAnsi" w:eastAsia="Times New Roman" w:hAnsiTheme="majorHAnsi" w:cs="Times New Roman"/>
          <w:sz w:val="24"/>
          <w:szCs w:val="24"/>
        </w:rPr>
        <w:t xml:space="preserve">fiscal year </w:t>
      </w:r>
      <w:r w:rsidRPr="00EA732F">
        <w:rPr>
          <w:rFonts w:asciiTheme="majorHAnsi" w:eastAsia="Times New Roman" w:hAnsiTheme="majorHAnsi" w:cs="Times New Roman"/>
          <w:sz w:val="24"/>
          <w:szCs w:val="24"/>
        </w:rPr>
        <w:t>201</w:t>
      </w:r>
      <w:r w:rsidR="00BF0644" w:rsidRPr="00EA732F">
        <w:rPr>
          <w:rFonts w:asciiTheme="majorHAnsi" w:eastAsia="Times New Roman" w:hAnsiTheme="majorHAnsi" w:cs="Times New Roman"/>
          <w:sz w:val="24"/>
          <w:szCs w:val="24"/>
        </w:rPr>
        <w:t>5/2016</w:t>
      </w:r>
      <w:r w:rsidR="0025015E" w:rsidRPr="00EA732F">
        <w:rPr>
          <w:rFonts w:asciiTheme="majorHAnsi" w:eastAsia="Times New Roman" w:hAnsiTheme="majorHAnsi" w:cs="Times New Roman"/>
          <w:sz w:val="24"/>
          <w:szCs w:val="24"/>
        </w:rPr>
        <w:t>, the following priority areas have been identified</w:t>
      </w:r>
      <w:r w:rsidR="00F6394B" w:rsidRPr="00EA732F">
        <w:rPr>
          <w:rFonts w:asciiTheme="majorHAnsi" w:hAnsiTheme="majorHAnsi" w:cs="Times New Roman" w:hint="eastAsia"/>
          <w:sz w:val="24"/>
          <w:szCs w:val="24"/>
          <w:lang w:eastAsia="ja-JP"/>
        </w:rPr>
        <w:t>, considering the priority actions for the EDPRS 2 Core Indicators and the Sector Indicator Matrix</w:t>
      </w:r>
      <w:r w:rsidR="0025015E" w:rsidRPr="00EA732F">
        <w:rPr>
          <w:rFonts w:asciiTheme="majorHAnsi" w:eastAsia="Times New Roman" w:hAnsiTheme="majorHAnsi" w:cs="Times New Roman"/>
          <w:sz w:val="24"/>
          <w:szCs w:val="24"/>
        </w:rPr>
        <w:t xml:space="preserve"> for </w:t>
      </w:r>
      <w:r w:rsidR="00BF0644" w:rsidRPr="00EA732F">
        <w:rPr>
          <w:rFonts w:asciiTheme="majorHAnsi" w:eastAsia="Times New Roman" w:hAnsiTheme="majorHAnsi" w:cs="Times New Roman"/>
          <w:sz w:val="24"/>
          <w:szCs w:val="24"/>
        </w:rPr>
        <w:t xml:space="preserve">WATSAN </w:t>
      </w:r>
      <w:r w:rsidR="0025015E" w:rsidRPr="00EA732F">
        <w:rPr>
          <w:rFonts w:asciiTheme="majorHAnsi" w:eastAsia="Times New Roman" w:hAnsiTheme="majorHAnsi" w:cs="Times New Roman"/>
          <w:sz w:val="24"/>
          <w:szCs w:val="24"/>
        </w:rPr>
        <w:t>sector</w:t>
      </w:r>
      <w:r w:rsidRPr="00EA732F">
        <w:rPr>
          <w:rFonts w:asciiTheme="majorHAnsi" w:eastAsia="Times New Roman" w:hAnsiTheme="majorHAnsi" w:cs="Times New Roman"/>
          <w:sz w:val="24"/>
          <w:szCs w:val="24"/>
        </w:rPr>
        <w:t>:</w:t>
      </w:r>
    </w:p>
    <w:p w14:paraId="4DC7C4E0" w14:textId="70200702" w:rsidR="00BF0644" w:rsidRDefault="00BF0644" w:rsidP="00F42229">
      <w:pPr>
        <w:pStyle w:val="ListParagraph"/>
        <w:numPr>
          <w:ilvl w:val="0"/>
          <w:numId w:val="13"/>
        </w:numPr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Increase access</w:t>
      </w:r>
      <w:r w:rsidR="0025015E">
        <w:rPr>
          <w:rFonts w:asciiTheme="majorHAnsi" w:eastAsia="Times New Roman" w:hAnsiTheme="majorHAnsi" w:cs="Times New Roman"/>
          <w:sz w:val="24"/>
          <w:szCs w:val="24"/>
        </w:rPr>
        <w:t xml:space="preserve"> to improved water supply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in </w:t>
      </w:r>
      <w:r w:rsidR="0025015E">
        <w:rPr>
          <w:rFonts w:asciiTheme="majorHAnsi" w:eastAsia="Times New Roman" w:hAnsiTheme="majorHAnsi" w:cs="Times New Roman"/>
          <w:sz w:val="24"/>
          <w:szCs w:val="24"/>
        </w:rPr>
        <w:t>u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rban and </w:t>
      </w:r>
      <w:r w:rsidR="0025015E">
        <w:rPr>
          <w:rFonts w:asciiTheme="majorHAnsi" w:eastAsia="Times New Roman" w:hAnsiTheme="majorHAnsi" w:cs="Times New Roman"/>
          <w:sz w:val="24"/>
          <w:szCs w:val="24"/>
        </w:rPr>
        <w:t>r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ural areas </w:t>
      </w:r>
      <w:r w:rsidR="0025015E">
        <w:rPr>
          <w:rFonts w:asciiTheme="majorHAnsi" w:eastAsia="Times New Roman" w:hAnsiTheme="majorHAnsi" w:cs="Times New Roman"/>
          <w:sz w:val="24"/>
          <w:szCs w:val="24"/>
        </w:rPr>
        <w:t xml:space="preserve">through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construction </w:t>
      </w:r>
      <w:r w:rsidR="0025015E">
        <w:rPr>
          <w:rFonts w:asciiTheme="majorHAnsi" w:eastAsia="Times New Roman" w:hAnsiTheme="majorHAnsi" w:cs="Times New Roman"/>
          <w:sz w:val="24"/>
          <w:szCs w:val="24"/>
        </w:rPr>
        <w:t xml:space="preserve">of </w:t>
      </w:r>
      <w:r>
        <w:rPr>
          <w:rFonts w:asciiTheme="majorHAnsi" w:eastAsia="Times New Roman" w:hAnsiTheme="majorHAnsi" w:cs="Times New Roman"/>
          <w:sz w:val="24"/>
          <w:szCs w:val="24"/>
        </w:rPr>
        <w:t>new water supply systems, rehabilitati</w:t>
      </w:r>
      <w:r w:rsidR="0025015E">
        <w:rPr>
          <w:rFonts w:asciiTheme="majorHAnsi" w:eastAsia="Times New Roman" w:hAnsiTheme="majorHAnsi" w:cs="Times New Roman"/>
          <w:sz w:val="24"/>
          <w:szCs w:val="24"/>
        </w:rPr>
        <w:t>on of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nonfunctional water systems and increase </w:t>
      </w:r>
      <w:r w:rsidR="0025015E">
        <w:rPr>
          <w:rFonts w:asciiTheme="majorHAnsi" w:eastAsia="Times New Roman" w:hAnsiTheme="majorHAnsi" w:cs="Times New Roman"/>
          <w:sz w:val="24"/>
          <w:szCs w:val="24"/>
        </w:rPr>
        <w:t xml:space="preserve">in </w:t>
      </w:r>
      <w:r>
        <w:rPr>
          <w:rFonts w:asciiTheme="majorHAnsi" w:eastAsia="Times New Roman" w:hAnsiTheme="majorHAnsi" w:cs="Times New Roman"/>
          <w:sz w:val="24"/>
          <w:szCs w:val="24"/>
        </w:rPr>
        <w:t>water production</w:t>
      </w:r>
    </w:p>
    <w:p w14:paraId="03D8B4B9" w14:textId="14ED5D55" w:rsidR="00BF0644" w:rsidRDefault="00BF0644" w:rsidP="00F42229">
      <w:pPr>
        <w:pStyle w:val="ListParagraph"/>
        <w:numPr>
          <w:ilvl w:val="0"/>
          <w:numId w:val="13"/>
        </w:numPr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Improve </w:t>
      </w:r>
      <w:r w:rsidR="0025015E">
        <w:rPr>
          <w:rFonts w:asciiTheme="majorHAnsi" w:eastAsia="Times New Roman" w:hAnsiTheme="majorHAnsi" w:cs="Times New Roman"/>
          <w:sz w:val="24"/>
          <w:szCs w:val="24"/>
        </w:rPr>
        <w:t>o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peration, </w:t>
      </w:r>
      <w:r w:rsidR="0025015E">
        <w:rPr>
          <w:rFonts w:asciiTheme="majorHAnsi" w:eastAsia="Times New Roman" w:hAnsiTheme="majorHAnsi" w:cs="Times New Roman"/>
          <w:sz w:val="24"/>
          <w:szCs w:val="24"/>
        </w:rPr>
        <w:t>m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aintenance and </w:t>
      </w:r>
      <w:r w:rsidR="0025015E">
        <w:rPr>
          <w:rFonts w:asciiTheme="majorHAnsi" w:eastAsia="Times New Roman" w:hAnsiTheme="majorHAnsi" w:cs="Times New Roman"/>
          <w:sz w:val="24"/>
          <w:szCs w:val="24"/>
        </w:rPr>
        <w:t>s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ustainability of water supply systems </w:t>
      </w:r>
      <w:r w:rsidR="0025015E">
        <w:rPr>
          <w:rFonts w:asciiTheme="majorHAnsi" w:eastAsia="Times New Roman" w:hAnsiTheme="majorHAnsi" w:cs="Times New Roman"/>
          <w:sz w:val="24"/>
          <w:szCs w:val="24"/>
        </w:rPr>
        <w:t xml:space="preserve">in urban and rural areas through </w:t>
      </w:r>
      <w:r>
        <w:rPr>
          <w:rFonts w:asciiTheme="majorHAnsi" w:eastAsia="Times New Roman" w:hAnsiTheme="majorHAnsi" w:cs="Times New Roman"/>
          <w:sz w:val="24"/>
          <w:szCs w:val="24"/>
        </w:rPr>
        <w:t>training on O&amp;M</w:t>
      </w:r>
      <w:r w:rsidR="0025015E">
        <w:rPr>
          <w:rFonts w:asciiTheme="majorHAnsi" w:eastAsia="Times New Roman" w:hAnsiTheme="majorHAnsi" w:cs="Times New Roman"/>
          <w:sz w:val="24"/>
          <w:szCs w:val="24"/>
        </w:rPr>
        <w:t>,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especially for private operators in rural areas</w:t>
      </w:r>
      <w:r w:rsidR="0025015E">
        <w:rPr>
          <w:rFonts w:asciiTheme="majorHAnsi" w:eastAsia="Times New Roman" w:hAnsiTheme="majorHAnsi" w:cs="Times New Roman"/>
          <w:sz w:val="24"/>
          <w:szCs w:val="24"/>
        </w:rPr>
        <w:t>;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25015E">
        <w:rPr>
          <w:rFonts w:asciiTheme="majorHAnsi" w:eastAsia="Times New Roman" w:hAnsiTheme="majorHAnsi" w:cs="Times New Roman"/>
          <w:sz w:val="24"/>
          <w:szCs w:val="24"/>
        </w:rPr>
        <w:t xml:space="preserve">development of bench marks and </w:t>
      </w:r>
      <w:r w:rsidR="0025015E" w:rsidRPr="0025015E">
        <w:rPr>
          <w:rFonts w:asciiTheme="majorHAnsi" w:eastAsia="Times New Roman" w:hAnsiTheme="majorHAnsi" w:cs="Times New Roman"/>
          <w:sz w:val="24"/>
          <w:szCs w:val="24"/>
        </w:rPr>
        <w:t>operationaliz</w:t>
      </w:r>
      <w:r w:rsidR="0025015E">
        <w:rPr>
          <w:rFonts w:asciiTheme="majorHAnsi" w:eastAsia="Times New Roman" w:hAnsiTheme="majorHAnsi" w:cs="Times New Roman"/>
          <w:sz w:val="24"/>
          <w:szCs w:val="24"/>
        </w:rPr>
        <w:t xml:space="preserve">ation of </w:t>
      </w:r>
      <w:r w:rsidR="0025015E" w:rsidRPr="0025015E">
        <w:rPr>
          <w:rFonts w:asciiTheme="majorHAnsi" w:eastAsia="Times New Roman" w:hAnsiTheme="majorHAnsi" w:cs="Times New Roman"/>
          <w:sz w:val="24"/>
          <w:szCs w:val="24"/>
        </w:rPr>
        <w:t xml:space="preserve">framework for </w:t>
      </w:r>
      <w:r w:rsidR="0025015E">
        <w:rPr>
          <w:rFonts w:asciiTheme="majorHAnsi" w:eastAsia="Times New Roman" w:hAnsiTheme="majorHAnsi" w:cs="Times New Roman"/>
          <w:sz w:val="24"/>
          <w:szCs w:val="24"/>
        </w:rPr>
        <w:t xml:space="preserve">performance monitoring of private operators;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review </w:t>
      </w:r>
      <w:r w:rsidR="00CB416F">
        <w:rPr>
          <w:rFonts w:asciiTheme="majorHAnsi" w:eastAsia="Times New Roman" w:hAnsiTheme="majorHAnsi" w:cs="Times New Roman"/>
          <w:sz w:val="24"/>
          <w:szCs w:val="24"/>
        </w:rPr>
        <w:t xml:space="preserve">of </w:t>
      </w:r>
      <w:r>
        <w:rPr>
          <w:rFonts w:asciiTheme="majorHAnsi" w:eastAsia="Times New Roman" w:hAnsiTheme="majorHAnsi" w:cs="Times New Roman"/>
          <w:sz w:val="24"/>
          <w:szCs w:val="24"/>
        </w:rPr>
        <w:t>water tariff</w:t>
      </w:r>
      <w:r w:rsidR="0025015E">
        <w:rPr>
          <w:rFonts w:asciiTheme="majorHAnsi" w:eastAsia="Times New Roman" w:hAnsiTheme="majorHAnsi" w:cs="Times New Roman"/>
          <w:sz w:val="24"/>
          <w:szCs w:val="24"/>
        </w:rPr>
        <w:t>s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and redu</w:t>
      </w:r>
      <w:r w:rsidR="0025015E">
        <w:rPr>
          <w:rFonts w:asciiTheme="majorHAnsi" w:eastAsia="Times New Roman" w:hAnsiTheme="majorHAnsi" w:cs="Times New Roman"/>
          <w:sz w:val="24"/>
          <w:szCs w:val="24"/>
        </w:rPr>
        <w:t xml:space="preserve">ction of </w:t>
      </w:r>
      <w:r w:rsidR="008C4480">
        <w:rPr>
          <w:rFonts w:asciiTheme="majorHAnsi" w:eastAsia="Times New Roman" w:hAnsiTheme="majorHAnsi" w:cs="Times New Roman"/>
          <w:sz w:val="24"/>
          <w:szCs w:val="24"/>
        </w:rPr>
        <w:t xml:space="preserve">non-revenue water </w:t>
      </w:r>
    </w:p>
    <w:p w14:paraId="2B99CD8A" w14:textId="060D4946" w:rsidR="00C44E85" w:rsidRDefault="00BF0644" w:rsidP="00F42229">
      <w:pPr>
        <w:pStyle w:val="ListParagraph"/>
        <w:numPr>
          <w:ilvl w:val="0"/>
          <w:numId w:val="13"/>
        </w:numPr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Improve </w:t>
      </w:r>
      <w:r w:rsidR="008C4480">
        <w:rPr>
          <w:rFonts w:asciiTheme="majorHAnsi" w:eastAsia="Times New Roman" w:hAnsiTheme="majorHAnsi" w:cs="Times New Roman"/>
          <w:sz w:val="24"/>
          <w:szCs w:val="24"/>
        </w:rPr>
        <w:t xml:space="preserve">access to improved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sanitation </w:t>
      </w:r>
      <w:r w:rsidR="00C44E85">
        <w:rPr>
          <w:rFonts w:asciiTheme="majorHAnsi" w:eastAsia="Times New Roman" w:hAnsiTheme="majorHAnsi" w:cs="Times New Roman"/>
          <w:sz w:val="24"/>
          <w:szCs w:val="24"/>
        </w:rPr>
        <w:t xml:space="preserve">by promoting construction of </w:t>
      </w:r>
      <w:r>
        <w:rPr>
          <w:rFonts w:asciiTheme="majorHAnsi" w:eastAsia="Times New Roman" w:hAnsiTheme="majorHAnsi" w:cs="Times New Roman"/>
          <w:sz w:val="24"/>
          <w:szCs w:val="24"/>
        </w:rPr>
        <w:t>improved</w:t>
      </w:r>
      <w:r w:rsidR="00C44E85">
        <w:rPr>
          <w:rFonts w:asciiTheme="majorHAnsi" w:eastAsia="Times New Roman" w:hAnsiTheme="majorHAnsi" w:cs="Times New Roman"/>
          <w:sz w:val="24"/>
          <w:szCs w:val="24"/>
        </w:rPr>
        <w:t xml:space="preserve"> household latrines</w:t>
      </w:r>
      <w:r w:rsidR="008C4480">
        <w:rPr>
          <w:rFonts w:asciiTheme="majorHAnsi" w:eastAsia="Times New Roman" w:hAnsiTheme="majorHAnsi" w:cs="Times New Roman"/>
          <w:sz w:val="24"/>
          <w:szCs w:val="24"/>
        </w:rPr>
        <w:t xml:space="preserve"> as well as construction of </w:t>
      </w:r>
      <w:r w:rsidR="00C44E85">
        <w:rPr>
          <w:rFonts w:asciiTheme="majorHAnsi" w:eastAsia="Times New Roman" w:hAnsiTheme="majorHAnsi" w:cs="Times New Roman"/>
          <w:sz w:val="24"/>
          <w:szCs w:val="24"/>
        </w:rPr>
        <w:t>public sanitation facilities</w:t>
      </w:r>
      <w:r w:rsidR="008C4480">
        <w:rPr>
          <w:rFonts w:asciiTheme="majorHAnsi" w:eastAsia="Times New Roman" w:hAnsiTheme="majorHAnsi" w:cs="Times New Roman"/>
          <w:sz w:val="24"/>
          <w:szCs w:val="24"/>
        </w:rPr>
        <w:t xml:space="preserve"> including s</w:t>
      </w:r>
      <w:r w:rsidR="00C44E85">
        <w:rPr>
          <w:rFonts w:asciiTheme="majorHAnsi" w:eastAsia="Times New Roman" w:hAnsiTheme="majorHAnsi" w:cs="Times New Roman"/>
          <w:sz w:val="24"/>
          <w:szCs w:val="24"/>
        </w:rPr>
        <w:t>olid waste landfills</w:t>
      </w:r>
      <w:r w:rsidR="008C4480">
        <w:rPr>
          <w:rFonts w:asciiTheme="majorHAnsi" w:eastAsia="Times New Roman" w:hAnsiTheme="majorHAnsi" w:cs="Times New Roman"/>
          <w:sz w:val="24"/>
          <w:szCs w:val="24"/>
        </w:rPr>
        <w:t xml:space="preserve"> and</w:t>
      </w:r>
      <w:r w:rsidR="00C44E85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F42229">
        <w:rPr>
          <w:rFonts w:asciiTheme="majorHAnsi" w:eastAsia="Times New Roman" w:hAnsiTheme="majorHAnsi" w:cs="Times New Roman"/>
          <w:sz w:val="24"/>
          <w:szCs w:val="24"/>
        </w:rPr>
        <w:t>fecal</w:t>
      </w:r>
      <w:r w:rsidR="00C44E85">
        <w:rPr>
          <w:rFonts w:asciiTheme="majorHAnsi" w:eastAsia="Times New Roman" w:hAnsiTheme="majorHAnsi" w:cs="Times New Roman"/>
          <w:sz w:val="24"/>
          <w:szCs w:val="24"/>
        </w:rPr>
        <w:t xml:space="preserve"> sludge treatment plant</w:t>
      </w:r>
      <w:r w:rsidR="008C4480">
        <w:rPr>
          <w:rFonts w:asciiTheme="majorHAnsi" w:eastAsia="Times New Roman" w:hAnsiTheme="majorHAnsi" w:cs="Times New Roman"/>
          <w:sz w:val="24"/>
          <w:szCs w:val="24"/>
        </w:rPr>
        <w:t>s</w:t>
      </w:r>
    </w:p>
    <w:p w14:paraId="26AE39DF" w14:textId="512D93FE" w:rsidR="008C4480" w:rsidRDefault="008C4480" w:rsidP="00F42229">
      <w:pPr>
        <w:pStyle w:val="ListParagraph"/>
        <w:numPr>
          <w:ilvl w:val="0"/>
          <w:numId w:val="13"/>
        </w:numPr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Strengthen policy and institutional framework for the sector including i</w:t>
      </w:r>
      <w:r w:rsidR="00C44E85">
        <w:rPr>
          <w:rFonts w:asciiTheme="majorHAnsi" w:eastAsia="Times New Roman" w:hAnsiTheme="majorHAnsi" w:cs="Times New Roman"/>
          <w:sz w:val="24"/>
          <w:szCs w:val="24"/>
        </w:rPr>
        <w:t>mplementation of WASAC Sector reforms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and </w:t>
      </w:r>
      <w:r w:rsidR="00C44E85">
        <w:rPr>
          <w:rFonts w:asciiTheme="majorHAnsi" w:eastAsia="Times New Roman" w:hAnsiTheme="majorHAnsi" w:cs="Times New Roman"/>
          <w:sz w:val="24"/>
          <w:szCs w:val="24"/>
        </w:rPr>
        <w:t xml:space="preserve">updating of the National Policy for </w:t>
      </w:r>
      <w:r>
        <w:rPr>
          <w:rFonts w:asciiTheme="majorHAnsi" w:eastAsia="Times New Roman" w:hAnsiTheme="majorHAnsi" w:cs="Times New Roman"/>
          <w:sz w:val="24"/>
          <w:szCs w:val="24"/>
        </w:rPr>
        <w:t>W</w:t>
      </w:r>
      <w:r w:rsidR="00C44E85">
        <w:rPr>
          <w:rFonts w:asciiTheme="majorHAnsi" w:eastAsia="Times New Roman" w:hAnsiTheme="majorHAnsi" w:cs="Times New Roman"/>
          <w:sz w:val="24"/>
          <w:szCs w:val="24"/>
        </w:rPr>
        <w:t xml:space="preserve">ater </w:t>
      </w:r>
      <w:r>
        <w:rPr>
          <w:rFonts w:asciiTheme="majorHAnsi" w:eastAsia="Times New Roman" w:hAnsiTheme="majorHAnsi" w:cs="Times New Roman"/>
          <w:sz w:val="24"/>
          <w:szCs w:val="24"/>
        </w:rPr>
        <w:t>S</w:t>
      </w:r>
      <w:r w:rsidR="00C44E85">
        <w:rPr>
          <w:rFonts w:asciiTheme="majorHAnsi" w:eastAsia="Times New Roman" w:hAnsiTheme="majorHAnsi" w:cs="Times New Roman"/>
          <w:sz w:val="24"/>
          <w:szCs w:val="24"/>
        </w:rPr>
        <w:t xml:space="preserve">upply and </w:t>
      </w:r>
      <w:r>
        <w:rPr>
          <w:rFonts w:asciiTheme="majorHAnsi" w:eastAsia="Times New Roman" w:hAnsiTheme="majorHAnsi" w:cs="Times New Roman"/>
          <w:sz w:val="24"/>
          <w:szCs w:val="24"/>
        </w:rPr>
        <w:t>S</w:t>
      </w:r>
      <w:r w:rsidR="00C44E85">
        <w:rPr>
          <w:rFonts w:asciiTheme="majorHAnsi" w:eastAsia="Times New Roman" w:hAnsiTheme="majorHAnsi" w:cs="Times New Roman"/>
          <w:sz w:val="24"/>
          <w:szCs w:val="24"/>
        </w:rPr>
        <w:t xml:space="preserve">anitation </w:t>
      </w:r>
      <w:r>
        <w:rPr>
          <w:rFonts w:asciiTheme="majorHAnsi" w:eastAsia="Times New Roman" w:hAnsiTheme="majorHAnsi" w:cs="Times New Roman"/>
          <w:sz w:val="24"/>
          <w:szCs w:val="24"/>
        </w:rPr>
        <w:t>S</w:t>
      </w:r>
      <w:r w:rsidR="00C44E85">
        <w:rPr>
          <w:rFonts w:asciiTheme="majorHAnsi" w:eastAsia="Times New Roman" w:hAnsiTheme="majorHAnsi" w:cs="Times New Roman"/>
          <w:sz w:val="24"/>
          <w:szCs w:val="24"/>
        </w:rPr>
        <w:t>ervices</w:t>
      </w:r>
    </w:p>
    <w:p w14:paraId="32198A5F" w14:textId="5566F679" w:rsidR="00B844FA" w:rsidRPr="00EA732F" w:rsidRDefault="00C44E85" w:rsidP="00525D17">
      <w:pPr>
        <w:pStyle w:val="ListParagraph"/>
        <w:numPr>
          <w:ilvl w:val="0"/>
          <w:numId w:val="13"/>
        </w:numPr>
        <w:jc w:val="both"/>
      </w:pPr>
      <w:r w:rsidRPr="008C4480">
        <w:rPr>
          <w:rFonts w:asciiTheme="majorHAnsi" w:eastAsia="Times New Roman" w:hAnsiTheme="majorHAnsi" w:cs="Times New Roman"/>
          <w:sz w:val="24"/>
          <w:szCs w:val="24"/>
        </w:rPr>
        <w:t>Improve</w:t>
      </w:r>
      <w:r w:rsidR="00F42229">
        <w:rPr>
          <w:rFonts w:asciiTheme="majorHAnsi" w:hAnsiTheme="majorHAnsi" w:cs="Times New Roman" w:hint="eastAsia"/>
          <w:sz w:val="24"/>
          <w:szCs w:val="24"/>
          <w:lang w:eastAsia="ja-JP"/>
        </w:rPr>
        <w:t xml:space="preserve"> the coordination among the stakeholders of the</w:t>
      </w:r>
      <w:r w:rsidRPr="008C4480">
        <w:rPr>
          <w:rFonts w:asciiTheme="majorHAnsi" w:eastAsia="Times New Roman" w:hAnsiTheme="majorHAnsi" w:cs="Times New Roman"/>
          <w:sz w:val="24"/>
          <w:szCs w:val="24"/>
        </w:rPr>
        <w:t xml:space="preserve"> WATSAN </w:t>
      </w:r>
      <w:r w:rsidR="008C4480">
        <w:rPr>
          <w:rFonts w:asciiTheme="majorHAnsi" w:eastAsia="Times New Roman" w:hAnsiTheme="majorHAnsi" w:cs="Times New Roman"/>
          <w:sz w:val="24"/>
          <w:szCs w:val="24"/>
        </w:rPr>
        <w:t>s</w:t>
      </w:r>
      <w:r w:rsidRPr="008C4480">
        <w:rPr>
          <w:rFonts w:asciiTheme="majorHAnsi" w:eastAsia="Times New Roman" w:hAnsiTheme="majorHAnsi" w:cs="Times New Roman"/>
          <w:sz w:val="24"/>
          <w:szCs w:val="24"/>
        </w:rPr>
        <w:t xml:space="preserve">ector </w:t>
      </w:r>
      <w:r w:rsidR="009E4C10">
        <w:rPr>
          <w:rFonts w:asciiTheme="majorHAnsi" w:hAnsiTheme="majorHAnsi" w:cs="Times New Roman" w:hint="eastAsia"/>
          <w:sz w:val="24"/>
          <w:szCs w:val="24"/>
          <w:lang w:eastAsia="ja-JP"/>
        </w:rPr>
        <w:t xml:space="preserve">with the facilitative support from its secretariat, and move </w:t>
      </w:r>
      <w:r w:rsidR="009E4C10">
        <w:rPr>
          <w:rFonts w:asciiTheme="majorHAnsi" w:hAnsiTheme="majorHAnsi" w:cs="Times New Roman"/>
          <w:sz w:val="24"/>
          <w:szCs w:val="24"/>
          <w:lang w:eastAsia="ja-JP"/>
        </w:rPr>
        <w:t>forward to</w:t>
      </w:r>
      <w:r w:rsidR="009E4C10">
        <w:rPr>
          <w:rFonts w:asciiTheme="majorHAnsi" w:hAnsiTheme="majorHAnsi" w:cs="Times New Roman" w:hint="eastAsia"/>
          <w:sz w:val="24"/>
          <w:szCs w:val="24"/>
          <w:lang w:eastAsia="ja-JP"/>
        </w:rPr>
        <w:t xml:space="preserve"> establish the full-scale SWAP framework in the sector.</w:t>
      </w:r>
    </w:p>
    <w:p w14:paraId="09DA1BEB" w14:textId="3D016E77" w:rsidR="00A11AED" w:rsidRPr="00EA732F" w:rsidRDefault="00A11AED" w:rsidP="00525D17">
      <w:pPr>
        <w:jc w:val="both"/>
        <w:rPr>
          <w:rFonts w:asciiTheme="majorHAnsi" w:hAnsiTheme="majorHAnsi" w:cs="Times New Roman"/>
          <w:sz w:val="24"/>
          <w:szCs w:val="24"/>
        </w:rPr>
      </w:pPr>
      <w:r w:rsidRPr="00047367">
        <w:rPr>
          <w:rFonts w:asciiTheme="majorHAnsi" w:hAnsiTheme="majorHAnsi" w:cs="Times New Roman"/>
          <w:sz w:val="24"/>
          <w:szCs w:val="24"/>
        </w:rPr>
        <w:t xml:space="preserve">Signed by the Chair and Co-Chair of the Water Supply and </w:t>
      </w:r>
      <w:r w:rsidR="00EA732F">
        <w:rPr>
          <w:rFonts w:asciiTheme="majorHAnsi" w:hAnsiTheme="majorHAnsi" w:cs="Times New Roman"/>
          <w:sz w:val="24"/>
          <w:szCs w:val="24"/>
        </w:rPr>
        <w:t>Sanitation Sector working group</w:t>
      </w:r>
    </w:p>
    <w:p w14:paraId="0F6DCDB5" w14:textId="3752BF27" w:rsidR="00A11AED" w:rsidRPr="00047367" w:rsidRDefault="00A11AED" w:rsidP="00525D17">
      <w:pPr>
        <w:ind w:left="720" w:firstLine="720"/>
        <w:jc w:val="both"/>
        <w:rPr>
          <w:rFonts w:asciiTheme="majorHAnsi" w:hAnsiTheme="majorHAnsi"/>
          <w:sz w:val="24"/>
          <w:szCs w:val="24"/>
          <w:u w:val="single"/>
          <w:lang w:eastAsia="ja-JP"/>
        </w:rPr>
      </w:pPr>
      <w:r w:rsidRPr="00047367">
        <w:rPr>
          <w:rFonts w:asciiTheme="majorHAnsi" w:hAnsiTheme="majorHAnsi"/>
          <w:noProof/>
          <w:sz w:val="24"/>
          <w:szCs w:val="24"/>
          <w:u w:val="singl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C508841" wp14:editId="69A85ADA">
                <wp:simplePos x="0" y="0"/>
                <wp:positionH relativeFrom="column">
                  <wp:posOffset>3132814</wp:posOffset>
                </wp:positionH>
                <wp:positionV relativeFrom="paragraph">
                  <wp:posOffset>121727</wp:posOffset>
                </wp:positionV>
                <wp:extent cx="1995777" cy="0"/>
                <wp:effectExtent l="0" t="0" r="2413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577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91C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46.7pt;margin-top:9.6pt;width:157.1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"/>
            </w:pict>
          </mc:Fallback>
        </mc:AlternateContent>
      </w:r>
      <w:r w:rsidRPr="00047367">
        <w:rPr>
          <w:rFonts w:asciiTheme="majorHAnsi" w:hAnsiTheme="majorHAnsi"/>
          <w:noProof/>
          <w:sz w:val="24"/>
          <w:szCs w:val="24"/>
          <w:u w:val="singl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5376D1D" wp14:editId="2A61C8C1">
                <wp:simplePos x="0" y="0"/>
                <wp:positionH relativeFrom="column">
                  <wp:posOffset>-64770</wp:posOffset>
                </wp:positionH>
                <wp:positionV relativeFrom="paragraph">
                  <wp:posOffset>121285</wp:posOffset>
                </wp:positionV>
                <wp:extent cx="198120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B57EC" id="Straight Arrow Connector 2" o:spid="_x0000_s1026" type="#_x0000_t32" style="position:absolute;margin-left:-5.1pt;margin-top:9.55pt;width:15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mxIwIAAEo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"/>
            </w:pict>
          </mc:Fallback>
        </mc:AlternateContent>
      </w:r>
      <w:r w:rsidRPr="00047367">
        <w:rPr>
          <w:rFonts w:asciiTheme="majorHAnsi" w:hAnsiTheme="majorHAnsi"/>
          <w:sz w:val="24"/>
          <w:szCs w:val="24"/>
          <w:u w:val="single"/>
        </w:rPr>
        <w:t xml:space="preserve">                 </w:t>
      </w:r>
      <w:r w:rsidR="009E4C10">
        <w:rPr>
          <w:rFonts w:asciiTheme="majorHAnsi" w:hAnsiTheme="majorHAnsi"/>
          <w:sz w:val="24"/>
          <w:szCs w:val="24"/>
          <w:u w:val="single"/>
        </w:rPr>
        <w:t xml:space="preserve">             </w:t>
      </w:r>
    </w:p>
    <w:p w14:paraId="0279493D" w14:textId="37C06329" w:rsidR="00A11AED" w:rsidRPr="00047367" w:rsidRDefault="009E4C10" w:rsidP="00525D17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Christian RWAKUNDA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="00B844FA" w:rsidRPr="00047367">
        <w:rPr>
          <w:rFonts w:asciiTheme="majorHAnsi" w:hAnsiTheme="majorHAnsi"/>
          <w:b/>
          <w:bCs/>
          <w:sz w:val="24"/>
          <w:szCs w:val="24"/>
        </w:rPr>
        <w:t>Takahiro MOR</w:t>
      </w:r>
      <w:r w:rsidR="00997314" w:rsidRPr="00047367">
        <w:rPr>
          <w:rFonts w:asciiTheme="majorHAnsi" w:hAnsiTheme="majorHAnsi"/>
          <w:b/>
          <w:sz w:val="24"/>
          <w:szCs w:val="24"/>
        </w:rPr>
        <w:t>IYA</w:t>
      </w:r>
    </w:p>
    <w:p w14:paraId="01FB4A48" w14:textId="6DE54A9B" w:rsidR="00A11AED" w:rsidRPr="00047367" w:rsidRDefault="009E4C10" w:rsidP="00525D1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Chair of the SWG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A11AED" w:rsidRPr="00047367">
        <w:rPr>
          <w:rFonts w:asciiTheme="majorHAnsi" w:hAnsiTheme="majorHAnsi"/>
          <w:sz w:val="24"/>
          <w:szCs w:val="24"/>
        </w:rPr>
        <w:t>Co-Chair of the SWG</w:t>
      </w:r>
    </w:p>
    <w:p w14:paraId="205D6A93" w14:textId="1C94B61A" w:rsidR="00A11AED" w:rsidRPr="00047367" w:rsidRDefault="00A11AED" w:rsidP="00525D17">
      <w:pPr>
        <w:jc w:val="both"/>
        <w:rPr>
          <w:rFonts w:asciiTheme="majorHAnsi" w:hAnsiTheme="majorHAnsi"/>
          <w:sz w:val="24"/>
          <w:szCs w:val="24"/>
        </w:rPr>
      </w:pPr>
      <w:r w:rsidRPr="00047367">
        <w:rPr>
          <w:rFonts w:asciiTheme="majorHAnsi" w:hAnsiTheme="majorHAnsi"/>
          <w:sz w:val="24"/>
          <w:szCs w:val="24"/>
        </w:rPr>
        <w:t>Per</w:t>
      </w:r>
      <w:r w:rsidR="00F6394B">
        <w:rPr>
          <w:rFonts w:asciiTheme="majorHAnsi" w:hAnsiTheme="majorHAnsi"/>
          <w:sz w:val="24"/>
          <w:szCs w:val="24"/>
        </w:rPr>
        <w:t>manent Secretary</w:t>
      </w:r>
      <w:r w:rsidR="009E4C10">
        <w:rPr>
          <w:rFonts w:asciiTheme="majorHAnsi" w:hAnsiTheme="majorHAnsi"/>
          <w:sz w:val="24"/>
          <w:szCs w:val="24"/>
        </w:rPr>
        <w:tab/>
      </w:r>
      <w:r w:rsidR="009E4C10">
        <w:rPr>
          <w:rFonts w:asciiTheme="majorHAnsi" w:hAnsiTheme="majorHAnsi"/>
          <w:sz w:val="24"/>
          <w:szCs w:val="24"/>
        </w:rPr>
        <w:tab/>
      </w:r>
      <w:r w:rsidR="009E4C10">
        <w:rPr>
          <w:rFonts w:asciiTheme="majorHAnsi" w:hAnsiTheme="majorHAnsi"/>
          <w:sz w:val="24"/>
          <w:szCs w:val="24"/>
        </w:rPr>
        <w:tab/>
      </w:r>
      <w:r w:rsidR="009E4C10">
        <w:rPr>
          <w:rFonts w:asciiTheme="majorHAnsi" w:hAnsiTheme="majorHAnsi"/>
          <w:sz w:val="24"/>
          <w:szCs w:val="24"/>
        </w:rPr>
        <w:tab/>
      </w:r>
      <w:r w:rsidR="00B844FA" w:rsidRPr="00047367">
        <w:rPr>
          <w:rFonts w:asciiTheme="majorHAnsi" w:hAnsiTheme="majorHAnsi"/>
          <w:sz w:val="24"/>
          <w:szCs w:val="24"/>
        </w:rPr>
        <w:t xml:space="preserve">Chief </w:t>
      </w:r>
      <w:r w:rsidRPr="00047367">
        <w:rPr>
          <w:rFonts w:asciiTheme="majorHAnsi" w:hAnsiTheme="majorHAnsi"/>
          <w:sz w:val="24"/>
          <w:szCs w:val="24"/>
        </w:rPr>
        <w:t>Representative</w:t>
      </w:r>
    </w:p>
    <w:p w14:paraId="1A37EB66" w14:textId="7AF7A704" w:rsidR="00A11AED" w:rsidRPr="00047367" w:rsidRDefault="009E4C10" w:rsidP="00525D17">
      <w:pPr>
        <w:jc w:val="both"/>
        <w:rPr>
          <w:rFonts w:asciiTheme="majorHAnsi" w:hAnsiTheme="majorHAnsi"/>
          <w:sz w:val="24"/>
          <w:szCs w:val="24"/>
          <w:lang w:eastAsia="ja-JP"/>
        </w:rPr>
      </w:pPr>
      <w:r>
        <w:rPr>
          <w:rFonts w:asciiTheme="majorHAnsi" w:hAnsiTheme="majorHAnsi"/>
          <w:sz w:val="24"/>
          <w:szCs w:val="24"/>
        </w:rPr>
        <w:t>Ministry of Infrastructure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JICA</w:t>
      </w:r>
      <w:r>
        <w:rPr>
          <w:rFonts w:asciiTheme="majorHAnsi" w:hAnsiTheme="majorHAnsi" w:hint="eastAsia"/>
          <w:sz w:val="24"/>
          <w:szCs w:val="24"/>
          <w:lang w:eastAsia="ja-JP"/>
        </w:rPr>
        <w:t xml:space="preserve"> </w:t>
      </w:r>
      <w:r w:rsidR="00B844FA" w:rsidRPr="00047367">
        <w:rPr>
          <w:rFonts w:asciiTheme="majorHAnsi" w:hAnsiTheme="majorHAnsi"/>
          <w:sz w:val="24"/>
          <w:szCs w:val="24"/>
        </w:rPr>
        <w:t>Rwanda</w:t>
      </w:r>
      <w:r>
        <w:rPr>
          <w:rFonts w:asciiTheme="majorHAnsi" w:hAnsiTheme="majorHAnsi" w:hint="eastAsia"/>
          <w:sz w:val="24"/>
          <w:szCs w:val="24"/>
          <w:lang w:eastAsia="ja-JP"/>
        </w:rPr>
        <w:t xml:space="preserve"> Office</w:t>
      </w:r>
    </w:p>
    <w:sectPr w:rsidR="00A11AED" w:rsidRPr="0004736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0B87A" w14:textId="77777777" w:rsidR="00AD6ACD" w:rsidRDefault="00AD6ACD" w:rsidP="00B85621">
      <w:pPr>
        <w:spacing w:after="0" w:line="240" w:lineRule="auto"/>
      </w:pPr>
      <w:r>
        <w:separator/>
      </w:r>
    </w:p>
  </w:endnote>
  <w:endnote w:type="continuationSeparator" w:id="0">
    <w:p w14:paraId="4D9A18AA" w14:textId="77777777" w:rsidR="00AD6ACD" w:rsidRDefault="00AD6ACD" w:rsidP="00B8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505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8EA4A" w14:textId="77777777" w:rsidR="00B85621" w:rsidRDefault="00B856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0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50EFA7" w14:textId="77777777" w:rsidR="00B85621" w:rsidRDefault="00B856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64AB4" w14:textId="77777777" w:rsidR="00AD6ACD" w:rsidRDefault="00AD6ACD" w:rsidP="00B85621">
      <w:pPr>
        <w:spacing w:after="0" w:line="240" w:lineRule="auto"/>
      </w:pPr>
      <w:r>
        <w:separator/>
      </w:r>
    </w:p>
  </w:footnote>
  <w:footnote w:type="continuationSeparator" w:id="0">
    <w:p w14:paraId="6D5A5655" w14:textId="77777777" w:rsidR="00AD6ACD" w:rsidRDefault="00AD6ACD" w:rsidP="00B85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55EF"/>
    <w:multiLevelType w:val="hybridMultilevel"/>
    <w:tmpl w:val="ED8478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A41"/>
    <w:multiLevelType w:val="hybridMultilevel"/>
    <w:tmpl w:val="B9DA84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F42342"/>
    <w:multiLevelType w:val="hybridMultilevel"/>
    <w:tmpl w:val="C930EBD8"/>
    <w:lvl w:ilvl="0" w:tplc="5BE257D4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  <w:color w:val="00000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B170A"/>
    <w:multiLevelType w:val="hybridMultilevel"/>
    <w:tmpl w:val="4ECA1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412E8A"/>
    <w:multiLevelType w:val="hybridMultilevel"/>
    <w:tmpl w:val="3D821F30"/>
    <w:lvl w:ilvl="0" w:tplc="FC96D3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02EC1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64BC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A425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5067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9E2B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2D6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D22C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6624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06873"/>
    <w:multiLevelType w:val="hybridMultilevel"/>
    <w:tmpl w:val="4E5A36E8"/>
    <w:lvl w:ilvl="0" w:tplc="38F8E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1230A0"/>
    <w:multiLevelType w:val="hybridMultilevel"/>
    <w:tmpl w:val="E6C4AE02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4861722"/>
    <w:multiLevelType w:val="hybridMultilevel"/>
    <w:tmpl w:val="608658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721458"/>
    <w:multiLevelType w:val="hybridMultilevel"/>
    <w:tmpl w:val="BDBC8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181B21"/>
    <w:multiLevelType w:val="hybridMultilevel"/>
    <w:tmpl w:val="80107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76B6F"/>
    <w:multiLevelType w:val="hybridMultilevel"/>
    <w:tmpl w:val="AE6607A6"/>
    <w:lvl w:ilvl="0" w:tplc="788401CE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67408"/>
    <w:multiLevelType w:val="multilevel"/>
    <w:tmpl w:val="44225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675303C"/>
    <w:multiLevelType w:val="hybridMultilevel"/>
    <w:tmpl w:val="47C47EC2"/>
    <w:lvl w:ilvl="0" w:tplc="C818B772">
      <w:start w:val="74"/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1"/>
  </w:num>
  <w:num w:numId="7">
    <w:abstractNumId w:val="9"/>
  </w:num>
  <w:num w:numId="8">
    <w:abstractNumId w:val="4"/>
  </w:num>
  <w:num w:numId="9">
    <w:abstractNumId w:val="12"/>
  </w:num>
  <w:num w:numId="10">
    <w:abstractNumId w:val="1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72"/>
    <w:rsid w:val="000414E1"/>
    <w:rsid w:val="00047367"/>
    <w:rsid w:val="0008504A"/>
    <w:rsid w:val="000B4CB3"/>
    <w:rsid w:val="000D5B00"/>
    <w:rsid w:val="000D6182"/>
    <w:rsid w:val="000D74BA"/>
    <w:rsid w:val="000F35DD"/>
    <w:rsid w:val="00110565"/>
    <w:rsid w:val="00113274"/>
    <w:rsid w:val="001557D3"/>
    <w:rsid w:val="001979C5"/>
    <w:rsid w:val="001A3172"/>
    <w:rsid w:val="001A6007"/>
    <w:rsid w:val="001B580D"/>
    <w:rsid w:val="0025015E"/>
    <w:rsid w:val="002518DA"/>
    <w:rsid w:val="0025235E"/>
    <w:rsid w:val="00252902"/>
    <w:rsid w:val="00297B6F"/>
    <w:rsid w:val="002A7190"/>
    <w:rsid w:val="002F1ABB"/>
    <w:rsid w:val="0030495B"/>
    <w:rsid w:val="00305DBA"/>
    <w:rsid w:val="003302B3"/>
    <w:rsid w:val="00390B43"/>
    <w:rsid w:val="00391B22"/>
    <w:rsid w:val="003B6490"/>
    <w:rsid w:val="003E3A56"/>
    <w:rsid w:val="003F45C8"/>
    <w:rsid w:val="00407BB3"/>
    <w:rsid w:val="00423340"/>
    <w:rsid w:val="00475893"/>
    <w:rsid w:val="004918F7"/>
    <w:rsid w:val="004F4A41"/>
    <w:rsid w:val="00524715"/>
    <w:rsid w:val="00524A03"/>
    <w:rsid w:val="00525D17"/>
    <w:rsid w:val="00535F32"/>
    <w:rsid w:val="0054053E"/>
    <w:rsid w:val="005500B8"/>
    <w:rsid w:val="005613BB"/>
    <w:rsid w:val="005730D6"/>
    <w:rsid w:val="005764B7"/>
    <w:rsid w:val="00583192"/>
    <w:rsid w:val="00597116"/>
    <w:rsid w:val="0061685A"/>
    <w:rsid w:val="00625DDF"/>
    <w:rsid w:val="0062676C"/>
    <w:rsid w:val="006302CB"/>
    <w:rsid w:val="00656178"/>
    <w:rsid w:val="006C6A50"/>
    <w:rsid w:val="006E6ACC"/>
    <w:rsid w:val="006E7D9B"/>
    <w:rsid w:val="006F7B67"/>
    <w:rsid w:val="00715679"/>
    <w:rsid w:val="00736F53"/>
    <w:rsid w:val="00741D95"/>
    <w:rsid w:val="00791478"/>
    <w:rsid w:val="007B1693"/>
    <w:rsid w:val="007F4BAB"/>
    <w:rsid w:val="008331DC"/>
    <w:rsid w:val="00833C64"/>
    <w:rsid w:val="008757A0"/>
    <w:rsid w:val="008C4480"/>
    <w:rsid w:val="008E29DE"/>
    <w:rsid w:val="008E2F81"/>
    <w:rsid w:val="009245C1"/>
    <w:rsid w:val="00931894"/>
    <w:rsid w:val="00934D1C"/>
    <w:rsid w:val="00946E01"/>
    <w:rsid w:val="00953D53"/>
    <w:rsid w:val="00997314"/>
    <w:rsid w:val="009C343A"/>
    <w:rsid w:val="009E4C10"/>
    <w:rsid w:val="009F1CC1"/>
    <w:rsid w:val="00A11AED"/>
    <w:rsid w:val="00A7189F"/>
    <w:rsid w:val="00A7524F"/>
    <w:rsid w:val="00A91B7A"/>
    <w:rsid w:val="00AB5EC2"/>
    <w:rsid w:val="00AD6ACD"/>
    <w:rsid w:val="00AD730A"/>
    <w:rsid w:val="00AF3091"/>
    <w:rsid w:val="00B01CC9"/>
    <w:rsid w:val="00B24C3A"/>
    <w:rsid w:val="00B47F31"/>
    <w:rsid w:val="00B60D22"/>
    <w:rsid w:val="00B77946"/>
    <w:rsid w:val="00B844FA"/>
    <w:rsid w:val="00B85621"/>
    <w:rsid w:val="00BC10ED"/>
    <w:rsid w:val="00BF0644"/>
    <w:rsid w:val="00C05303"/>
    <w:rsid w:val="00C16B3E"/>
    <w:rsid w:val="00C44E85"/>
    <w:rsid w:val="00C96C6E"/>
    <w:rsid w:val="00C972D0"/>
    <w:rsid w:val="00CA260A"/>
    <w:rsid w:val="00CB416F"/>
    <w:rsid w:val="00CB4BDE"/>
    <w:rsid w:val="00CD772D"/>
    <w:rsid w:val="00CF432F"/>
    <w:rsid w:val="00D10D3D"/>
    <w:rsid w:val="00D21623"/>
    <w:rsid w:val="00D31FD9"/>
    <w:rsid w:val="00D40307"/>
    <w:rsid w:val="00D4307D"/>
    <w:rsid w:val="00DD0D0F"/>
    <w:rsid w:val="00DF3CE8"/>
    <w:rsid w:val="00E02FB8"/>
    <w:rsid w:val="00E2235A"/>
    <w:rsid w:val="00E771B7"/>
    <w:rsid w:val="00EA732F"/>
    <w:rsid w:val="00EF71A2"/>
    <w:rsid w:val="00F13F41"/>
    <w:rsid w:val="00F266FE"/>
    <w:rsid w:val="00F320F4"/>
    <w:rsid w:val="00F42229"/>
    <w:rsid w:val="00F6394B"/>
    <w:rsid w:val="00F92B36"/>
    <w:rsid w:val="00F92DAC"/>
    <w:rsid w:val="00FA16FE"/>
    <w:rsid w:val="00FA5A55"/>
    <w:rsid w:val="00FB4D66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0689B"/>
  <w15:docId w15:val="{D7BF516D-CA70-4FED-A166-0C61968C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156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7156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6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B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3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C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5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621"/>
  </w:style>
  <w:style w:type="paragraph" w:styleId="Footer">
    <w:name w:val="footer"/>
    <w:basedOn w:val="Normal"/>
    <w:link w:val="FooterChar"/>
    <w:uiPriority w:val="99"/>
    <w:unhideWhenUsed/>
    <w:rsid w:val="00B85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62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42229"/>
  </w:style>
  <w:style w:type="character" w:customStyle="1" w:styleId="DateChar">
    <w:name w:val="Date Char"/>
    <w:basedOn w:val="DefaultParagraphFont"/>
    <w:link w:val="Date"/>
    <w:uiPriority w:val="99"/>
    <w:semiHidden/>
    <w:rsid w:val="00F42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77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690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0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70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71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9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79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0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6B09C-4E55-45D4-AF2F-75499CC3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Jean Paul NYIRINDEKWE</cp:lastModifiedBy>
  <cp:revision>2</cp:revision>
  <cp:lastPrinted>2014-06-13T07:51:00Z</cp:lastPrinted>
  <dcterms:created xsi:type="dcterms:W3CDTF">2021-02-18T08:19:00Z</dcterms:created>
  <dcterms:modified xsi:type="dcterms:W3CDTF">2021-02-18T08:19:00Z</dcterms:modified>
</cp:coreProperties>
</file>